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C88A" w14:textId="77777777" w:rsidR="00D80D5D" w:rsidRDefault="00000000" w:rsidP="0014395B">
      <w:pPr>
        <w:spacing w:after="360" w:line="278" w:lineRule="auto"/>
        <w:jc w:val="center"/>
        <w:rPr>
          <w:rFonts w:ascii="Times New Roman" w:eastAsia="黑体" w:hAnsi="Times New Roman" w:cs="Times New Roman"/>
          <w:b/>
          <w:bCs/>
          <w:spacing w:val="-10"/>
          <w:kern w:val="28"/>
          <w:sz w:val="32"/>
          <w:szCs w:val="32"/>
          <w14:ligatures w14:val="standardContextual"/>
        </w:rPr>
      </w:pPr>
      <w:r>
        <w:rPr>
          <w:rFonts w:ascii="Times New Roman" w:eastAsia="黑体" w:hAnsi="Times New Roman" w:cs="Times New Roman"/>
          <w:b/>
          <w:bCs/>
          <w:spacing w:val="-10"/>
          <w:kern w:val="28"/>
          <w:sz w:val="32"/>
          <w:szCs w:val="32"/>
          <w14:ligatures w14:val="standardContextual"/>
        </w:rPr>
        <w:t>Micius Award Series Charter</w:t>
      </w:r>
    </w:p>
    <w:p w14:paraId="3DA8FC9A" w14:textId="77777777" w:rsidR="00D80D5D" w:rsidRDefault="00000000">
      <w:pPr>
        <w:adjustRightInd w:val="0"/>
        <w:snapToGrid w:val="0"/>
        <w:spacing w:line="360" w:lineRule="auto"/>
        <w:rPr>
          <w:rFonts w:ascii="Times New Roman" w:hAnsi="Times New Roman" w:cs="Times New Roman"/>
          <w:b/>
          <w:bCs/>
          <w:sz w:val="24"/>
          <w14:ligatures w14:val="standardContextual"/>
        </w:rPr>
      </w:pPr>
      <w:r>
        <w:rPr>
          <w:rFonts w:ascii="Times New Roman" w:hAnsi="Times New Roman" w:cs="Times New Roman"/>
          <w:b/>
          <w:bCs/>
          <w:sz w:val="24"/>
          <w14:ligatures w14:val="standardContextual"/>
        </w:rPr>
        <w:t>I</w:t>
      </w:r>
      <w:r>
        <w:rPr>
          <w:rFonts w:ascii="Times New Roman" w:hAnsi="Times New Roman" w:cs="Times New Roman" w:hint="eastAsia"/>
          <w:b/>
          <w:bCs/>
          <w:sz w:val="24"/>
          <w14:ligatures w14:val="standardContextual"/>
        </w:rPr>
        <w:t>.</w:t>
      </w:r>
      <w:r>
        <w:rPr>
          <w:rFonts w:ascii="Times New Roman" w:hAnsi="Times New Roman" w:cs="Times New Roman"/>
          <w:b/>
          <w:bCs/>
          <w:sz w:val="24"/>
          <w14:ligatures w14:val="standardContextual"/>
        </w:rPr>
        <w:t xml:space="preserve"> General Provisions</w:t>
      </w:r>
    </w:p>
    <w:p w14:paraId="49BFE78D" w14:textId="19B08162" w:rsidR="00D80D5D" w:rsidRDefault="00000000">
      <w:pPr>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To recognize outstanding scientists who have made original, pioneering, and foundational contributions to the field of </w:t>
      </w:r>
      <w:r w:rsidR="0014395B">
        <w:rPr>
          <w:rFonts w:ascii="Times New Roman" w:hAnsi="Times New Roman" w:cs="Times New Roman" w:hint="eastAsia"/>
          <w:sz w:val="24"/>
        </w:rPr>
        <w:t>e</w:t>
      </w:r>
      <w:r>
        <w:rPr>
          <w:rFonts w:ascii="Times New Roman" w:hAnsi="Times New Roman" w:cs="Times New Roman"/>
          <w:sz w:val="24"/>
        </w:rPr>
        <w:t xml:space="preserve">ngineered </w:t>
      </w:r>
      <w:r w:rsidR="0014395B">
        <w:rPr>
          <w:rFonts w:ascii="Times New Roman" w:hAnsi="Times New Roman" w:cs="Times New Roman" w:hint="eastAsia"/>
          <w:sz w:val="24"/>
        </w:rPr>
        <w:t>s</w:t>
      </w:r>
      <w:r>
        <w:rPr>
          <w:rFonts w:ascii="Times New Roman" w:hAnsi="Times New Roman" w:cs="Times New Roman"/>
          <w:sz w:val="24"/>
        </w:rPr>
        <w:t>cience, to promote disciplinary innovation and development, and to advance global scientific collaboration and engineering applications, the Engineered Science Society</w:t>
      </w:r>
      <w:r w:rsidR="0014395B">
        <w:rPr>
          <w:rFonts w:ascii="Times New Roman" w:hAnsi="Times New Roman" w:cs="Times New Roman" w:hint="eastAsia"/>
          <w:sz w:val="24"/>
        </w:rPr>
        <w:t>, USA</w:t>
      </w:r>
      <w:r>
        <w:rPr>
          <w:rFonts w:ascii="Times New Roman" w:hAnsi="Times New Roman" w:cs="Times New Roman"/>
          <w:sz w:val="24"/>
        </w:rPr>
        <w:t xml:space="preserve"> (hereinafter referred to as “ESS”) establishes the Micius Award Series.</w:t>
      </w:r>
    </w:p>
    <w:p w14:paraId="6B4B162C" w14:textId="3C66ADE9" w:rsidR="00D80D5D" w:rsidRDefault="00000000">
      <w:pPr>
        <w:numPr>
          <w:ilvl w:val="0"/>
          <w:numId w:val="1"/>
        </w:numPr>
        <w:spacing w:line="360" w:lineRule="auto"/>
        <w:rPr>
          <w:rFonts w:ascii="Times New Roman" w:hAnsi="Times New Roman" w:cs="Times New Roman"/>
          <w:sz w:val="24"/>
        </w:rPr>
      </w:pPr>
      <w:r>
        <w:rPr>
          <w:rFonts w:ascii="Times New Roman" w:hAnsi="Times New Roman" w:cs="Times New Roman"/>
          <w:sz w:val="24"/>
        </w:rPr>
        <w:t>The Micius Award Series represents the highest-level international academic awards conferred by the ESS. It recognizes scientists and young researchers whose internationally acknowledged achievements have significantly advanced Engineered Science and exerted profound influence on the development of scientific disciplines, technological innovation, and engineering applications.</w:t>
      </w:r>
    </w:p>
    <w:p w14:paraId="1987AD47" w14:textId="4A2A868E" w:rsidR="00D80D5D" w:rsidRDefault="00000000">
      <w:pPr>
        <w:numPr>
          <w:ilvl w:val="0"/>
          <w:numId w:val="1"/>
        </w:numPr>
        <w:spacing w:line="360" w:lineRule="auto"/>
        <w:rPr>
          <w:rFonts w:ascii="Times New Roman" w:hAnsi="Times New Roman" w:cs="Times New Roman"/>
          <w:sz w:val="24"/>
        </w:rPr>
      </w:pPr>
      <w:r>
        <w:rPr>
          <w:rFonts w:ascii="Times New Roman" w:hAnsi="Times New Roman" w:cs="Times New Roman"/>
          <w:sz w:val="24"/>
        </w:rPr>
        <w:t>The Micius Award Series adheres to the principles of objectivity, fairness, independence, and academic authority. Selection decisions shall be based solely on scientific achievements and academic impact, without regard to nationality, region, gender, institutional affiliation, or any non-academic factors.</w:t>
      </w:r>
    </w:p>
    <w:p w14:paraId="5EC1BF0D" w14:textId="05DD12B1" w:rsidR="00D80D5D" w:rsidRPr="0014395B" w:rsidRDefault="00000000" w:rsidP="0014395B">
      <w:pPr>
        <w:numPr>
          <w:ilvl w:val="0"/>
          <w:numId w:val="1"/>
        </w:numPr>
        <w:spacing w:line="360" w:lineRule="auto"/>
        <w:rPr>
          <w:rFonts w:ascii="Times New Roman" w:hAnsi="Times New Roman" w:cs="Times New Roman" w:hint="eastAsia"/>
          <w:sz w:val="24"/>
        </w:rPr>
      </w:pPr>
      <w:r>
        <w:rPr>
          <w:rFonts w:ascii="Times New Roman" w:hAnsi="Times New Roman" w:cs="Times New Roman"/>
          <w:sz w:val="24"/>
        </w:rPr>
        <w:t>This Charter establishes the framework governing the nomination, evaluation, recognition, and administration of the Micius Award Series, ensuring scientific rigor, procedural integrity, and international credibility.</w:t>
      </w:r>
    </w:p>
    <w:p w14:paraId="66F96708" w14:textId="77777777" w:rsidR="00D80D5D" w:rsidRDefault="00000000" w:rsidP="0014395B">
      <w:pPr>
        <w:adjustRightInd w:val="0"/>
        <w:snapToGrid w:val="0"/>
        <w:spacing w:beforeLines="100" w:before="312" w:line="360" w:lineRule="auto"/>
        <w:rPr>
          <w:rFonts w:ascii="Times New Roman" w:hAnsi="Times New Roman" w:cs="Times New Roman"/>
          <w:b/>
          <w:bCs/>
          <w:sz w:val="24"/>
          <w14:ligatures w14:val="standardContextual"/>
        </w:rPr>
      </w:pPr>
      <w:r>
        <w:rPr>
          <w:rFonts w:ascii="Times New Roman" w:hAnsi="Times New Roman" w:cs="Times New Roman"/>
          <w:b/>
          <w:bCs/>
          <w:sz w:val="24"/>
          <w14:ligatures w14:val="standardContextual"/>
        </w:rPr>
        <w:t>II</w:t>
      </w:r>
      <w:r>
        <w:rPr>
          <w:rFonts w:ascii="Times New Roman" w:hAnsi="Times New Roman" w:cs="Times New Roman" w:hint="eastAsia"/>
          <w:b/>
          <w:bCs/>
          <w:sz w:val="24"/>
          <w14:ligatures w14:val="standardContextual"/>
        </w:rPr>
        <w:t>.</w:t>
      </w:r>
      <w:r>
        <w:rPr>
          <w:rFonts w:ascii="Times New Roman" w:hAnsi="Times New Roman" w:cs="Times New Roman"/>
          <w:b/>
          <w:bCs/>
          <w:sz w:val="24"/>
          <w14:ligatures w14:val="standardContextual"/>
        </w:rPr>
        <w:t xml:space="preserve"> Award Categories and Principles</w:t>
      </w:r>
    </w:p>
    <w:p w14:paraId="65CDA537" w14:textId="77777777" w:rsidR="00D80D5D" w:rsidRDefault="00000000">
      <w:pPr>
        <w:numPr>
          <w:ilvl w:val="0"/>
          <w:numId w:val="2"/>
        </w:numPr>
        <w:spacing w:line="360" w:lineRule="auto"/>
        <w:rPr>
          <w:rFonts w:ascii="Times New Roman" w:hAnsi="Times New Roman" w:cs="Times New Roman"/>
          <w:sz w:val="24"/>
        </w:rPr>
      </w:pPr>
      <w:r>
        <w:rPr>
          <w:rFonts w:ascii="Times New Roman" w:hAnsi="Times New Roman" w:cs="Times New Roman"/>
          <w:sz w:val="24"/>
        </w:rPr>
        <w:t>The Engineered Science Society is an independent international non-profit academic organization legally registered as a separate legal entity and operates autonomously in conducting academic activities and administering its awards programs.</w:t>
      </w:r>
    </w:p>
    <w:p w14:paraId="160005BF" w14:textId="77777777" w:rsidR="00D80D5D" w:rsidRDefault="00000000">
      <w:pPr>
        <w:numPr>
          <w:ilvl w:val="0"/>
          <w:numId w:val="3"/>
        </w:numPr>
        <w:spacing w:line="360" w:lineRule="auto"/>
        <w:rPr>
          <w:rFonts w:ascii="Times New Roman" w:hAnsi="Times New Roman" w:cs="Times New Roman"/>
          <w:sz w:val="24"/>
        </w:rPr>
      </w:pPr>
      <w:r>
        <w:rPr>
          <w:rFonts w:ascii="Times New Roman" w:hAnsi="Times New Roman" w:cs="Times New Roman"/>
          <w:sz w:val="24"/>
        </w:rPr>
        <w:t>The Micius Award Series consists of the following three categories:</w:t>
      </w:r>
    </w:p>
    <w:p w14:paraId="65DC2A01" w14:textId="77777777"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t>(1) ESS Micius Award</w:t>
      </w:r>
    </w:p>
    <w:p w14:paraId="7BA19F7F" w14:textId="77777777"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t>The highest award conferred by ESS.</w:t>
      </w:r>
    </w:p>
    <w:p w14:paraId="2517A802" w14:textId="77777777"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t>No more than one recipient shall be selected worldwide each year.</w:t>
      </w:r>
    </w:p>
    <w:p w14:paraId="5E081A23" w14:textId="42B49765"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lastRenderedPageBreak/>
        <w:t xml:space="preserve">The award recognizes scientists who have achieved world-leading and breakthrough accomplishments in </w:t>
      </w:r>
      <w:r w:rsidR="0014395B">
        <w:rPr>
          <w:rFonts w:ascii="Times New Roman" w:hAnsi="Times New Roman" w:cs="Times New Roman" w:hint="eastAsia"/>
          <w:sz w:val="24"/>
        </w:rPr>
        <w:t>e</w:t>
      </w:r>
      <w:r>
        <w:rPr>
          <w:rFonts w:ascii="Times New Roman" w:hAnsi="Times New Roman" w:cs="Times New Roman"/>
          <w:sz w:val="24"/>
        </w:rPr>
        <w:t xml:space="preserve">ngineered </w:t>
      </w:r>
      <w:r w:rsidR="0014395B">
        <w:rPr>
          <w:rFonts w:ascii="Times New Roman" w:hAnsi="Times New Roman" w:cs="Times New Roman" w:hint="eastAsia"/>
          <w:sz w:val="24"/>
        </w:rPr>
        <w:t>s</w:t>
      </w:r>
      <w:r>
        <w:rPr>
          <w:rFonts w:ascii="Times New Roman" w:hAnsi="Times New Roman" w:cs="Times New Roman"/>
          <w:sz w:val="24"/>
        </w:rPr>
        <w:t>cience and have made exceptional contributions to disciplinary advancement and international scientific cooperation. Their achievements should demonstrate long-term and sustained impact and be broadly recognized by the international scientific community.</w:t>
      </w:r>
    </w:p>
    <w:p w14:paraId="6F60A284" w14:textId="77777777"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t>(2) ESS Micius Outstanding Young Award</w:t>
      </w:r>
    </w:p>
    <w:p w14:paraId="780CA879" w14:textId="77777777"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t>No more than two recipients worldwide each year, with no more than one recipient from the same country in a given year.</w:t>
      </w:r>
    </w:p>
    <w:p w14:paraId="58B7B684" w14:textId="3391F950"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t xml:space="preserve">The award recognizes researchers aged 55 years or younger who have proposed major original scientific concepts or achieved significant breakthrough accomplishments in </w:t>
      </w:r>
      <w:r w:rsidR="0014395B">
        <w:rPr>
          <w:rFonts w:ascii="Times New Roman" w:hAnsi="Times New Roman" w:cs="Times New Roman" w:hint="eastAsia"/>
          <w:sz w:val="24"/>
        </w:rPr>
        <w:t>e</w:t>
      </w:r>
      <w:r>
        <w:rPr>
          <w:rFonts w:ascii="Times New Roman" w:hAnsi="Times New Roman" w:cs="Times New Roman"/>
          <w:sz w:val="24"/>
        </w:rPr>
        <w:t xml:space="preserve">ngineered </w:t>
      </w:r>
      <w:r w:rsidR="0014395B">
        <w:rPr>
          <w:rFonts w:ascii="Times New Roman" w:hAnsi="Times New Roman" w:cs="Times New Roman" w:hint="eastAsia"/>
          <w:sz w:val="24"/>
        </w:rPr>
        <w:t>s</w:t>
      </w:r>
      <w:r>
        <w:rPr>
          <w:rFonts w:ascii="Times New Roman" w:hAnsi="Times New Roman" w:cs="Times New Roman"/>
          <w:sz w:val="24"/>
        </w:rPr>
        <w:t>cience research or technology translation.</w:t>
      </w:r>
    </w:p>
    <w:p w14:paraId="53C8560B" w14:textId="77777777"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t>(3) ESS Micius Rising-Star Award</w:t>
      </w:r>
    </w:p>
    <w:p w14:paraId="0A3A7FE4" w14:textId="77777777"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t>No more than three recipients worldwide each year, with no more than one recipient from the same country in a given year.</w:t>
      </w:r>
    </w:p>
    <w:p w14:paraId="39420B95" w14:textId="5114D8B7"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t xml:space="preserve">The award recognizes researchers aged 45 years or younger who have achieved outstanding accomplishments in frontier areas of </w:t>
      </w:r>
      <w:r w:rsidR="0014395B">
        <w:rPr>
          <w:rFonts w:ascii="Times New Roman" w:hAnsi="Times New Roman" w:cs="Times New Roman" w:hint="eastAsia"/>
          <w:sz w:val="24"/>
        </w:rPr>
        <w:t>e</w:t>
      </w:r>
      <w:r>
        <w:rPr>
          <w:rFonts w:ascii="Times New Roman" w:hAnsi="Times New Roman" w:cs="Times New Roman"/>
          <w:sz w:val="24"/>
        </w:rPr>
        <w:t xml:space="preserve">ngineered </w:t>
      </w:r>
      <w:r w:rsidR="0014395B">
        <w:rPr>
          <w:rFonts w:ascii="Times New Roman" w:hAnsi="Times New Roman" w:cs="Times New Roman" w:hint="eastAsia"/>
          <w:sz w:val="24"/>
        </w:rPr>
        <w:t>s</w:t>
      </w:r>
      <w:r>
        <w:rPr>
          <w:rFonts w:ascii="Times New Roman" w:hAnsi="Times New Roman" w:cs="Times New Roman"/>
          <w:sz w:val="24"/>
        </w:rPr>
        <w:t>cience and demonstrated exceptional potential for future scientific leadership.</w:t>
      </w:r>
    </w:p>
    <w:p w14:paraId="57F11AF7" w14:textId="77777777" w:rsidR="00D80D5D" w:rsidRDefault="00000000">
      <w:pPr>
        <w:numPr>
          <w:ilvl w:val="0"/>
          <w:numId w:val="3"/>
        </w:numPr>
        <w:spacing w:line="360" w:lineRule="auto"/>
        <w:rPr>
          <w:rFonts w:ascii="Times New Roman" w:hAnsi="Times New Roman" w:cs="Times New Roman"/>
          <w:sz w:val="24"/>
        </w:rPr>
      </w:pPr>
      <w:r>
        <w:rPr>
          <w:rFonts w:ascii="Times New Roman" w:hAnsi="Times New Roman" w:cs="Times New Roman"/>
          <w:sz w:val="24"/>
        </w:rPr>
        <w:t>The Micius Award Series shall be presented annually. In principle, the same individual shall not receive the same award more than once.</w:t>
      </w:r>
    </w:p>
    <w:p w14:paraId="4A1F0CA2" w14:textId="77777777" w:rsidR="00D80D5D" w:rsidRDefault="00000000">
      <w:pPr>
        <w:numPr>
          <w:ilvl w:val="0"/>
          <w:numId w:val="3"/>
        </w:numPr>
        <w:spacing w:line="360" w:lineRule="auto"/>
        <w:rPr>
          <w:rFonts w:ascii="Times New Roman" w:hAnsi="Times New Roman" w:cs="Times New Roman"/>
          <w:sz w:val="24"/>
        </w:rPr>
      </w:pPr>
      <w:r>
        <w:rPr>
          <w:rFonts w:ascii="Times New Roman" w:hAnsi="Times New Roman" w:cs="Times New Roman"/>
          <w:sz w:val="24"/>
        </w:rPr>
        <w:t>Under exceptional circumstances, the Academic Committee for ESS Honorary Awards may, upon approval by no less than a two-thirds majority vote, determine that an award be shared among multiple recipients or withheld for a given year.</w:t>
      </w:r>
    </w:p>
    <w:p w14:paraId="3EB732D1" w14:textId="77777777" w:rsidR="00D80D5D" w:rsidRDefault="00000000">
      <w:pPr>
        <w:numPr>
          <w:ilvl w:val="0"/>
          <w:numId w:val="3"/>
        </w:numPr>
        <w:spacing w:line="360" w:lineRule="auto"/>
        <w:rPr>
          <w:rFonts w:ascii="Times New Roman" w:hAnsi="Times New Roman" w:cs="Times New Roman"/>
          <w:sz w:val="24"/>
        </w:rPr>
      </w:pPr>
      <w:r>
        <w:rPr>
          <w:rFonts w:ascii="Times New Roman" w:hAnsi="Times New Roman" w:cs="Times New Roman"/>
          <w:sz w:val="24"/>
        </w:rPr>
        <w:t>Recognized achievements may include, but are not limited to:</w:t>
      </w:r>
    </w:p>
    <w:p w14:paraId="20F4C21E" w14:textId="77777777" w:rsidR="00D80D5D" w:rsidRDefault="00000000">
      <w:pPr>
        <w:numPr>
          <w:ilvl w:val="0"/>
          <w:numId w:val="4"/>
        </w:numPr>
        <w:spacing w:line="360" w:lineRule="auto"/>
        <w:rPr>
          <w:rFonts w:ascii="Times New Roman" w:hAnsi="Times New Roman" w:cs="Times New Roman"/>
          <w:sz w:val="24"/>
        </w:rPr>
      </w:pPr>
      <w:r>
        <w:rPr>
          <w:rFonts w:ascii="Times New Roman" w:hAnsi="Times New Roman" w:cs="Times New Roman"/>
          <w:sz w:val="24"/>
        </w:rPr>
        <w:t>Original innovations that establish new scientific directions or paradigms;</w:t>
      </w:r>
    </w:p>
    <w:p w14:paraId="24750E5F" w14:textId="2A2521F9" w:rsidR="00D80D5D" w:rsidRDefault="00000000">
      <w:pPr>
        <w:numPr>
          <w:ilvl w:val="0"/>
          <w:numId w:val="4"/>
        </w:numPr>
        <w:spacing w:line="360" w:lineRule="auto"/>
        <w:rPr>
          <w:rFonts w:ascii="Times New Roman" w:hAnsi="Times New Roman" w:cs="Times New Roman"/>
          <w:sz w:val="24"/>
        </w:rPr>
      </w:pPr>
      <w:r>
        <w:rPr>
          <w:rFonts w:ascii="Times New Roman" w:hAnsi="Times New Roman" w:cs="Times New Roman"/>
          <w:sz w:val="24"/>
        </w:rPr>
        <w:t xml:space="preserve">Systematic contributions that reshape academic frameworks or advance transformative developments in </w:t>
      </w:r>
      <w:r w:rsidR="0044042B">
        <w:rPr>
          <w:rFonts w:ascii="Times New Roman" w:hAnsi="Times New Roman" w:cs="Times New Roman" w:hint="eastAsia"/>
          <w:sz w:val="24"/>
        </w:rPr>
        <w:t>e</w:t>
      </w:r>
      <w:r>
        <w:rPr>
          <w:rFonts w:ascii="Times New Roman" w:hAnsi="Times New Roman" w:cs="Times New Roman"/>
          <w:sz w:val="24"/>
        </w:rPr>
        <w:t xml:space="preserve">ngineered </w:t>
      </w:r>
      <w:r w:rsidR="0044042B">
        <w:rPr>
          <w:rFonts w:ascii="Times New Roman" w:hAnsi="Times New Roman" w:cs="Times New Roman" w:hint="eastAsia"/>
          <w:sz w:val="24"/>
        </w:rPr>
        <w:t>s</w:t>
      </w:r>
      <w:r>
        <w:rPr>
          <w:rFonts w:ascii="Times New Roman" w:hAnsi="Times New Roman" w:cs="Times New Roman"/>
          <w:sz w:val="24"/>
        </w:rPr>
        <w:t>cience;</w:t>
      </w:r>
    </w:p>
    <w:p w14:paraId="5EF5372B" w14:textId="77777777" w:rsidR="00D80D5D" w:rsidRDefault="00000000">
      <w:pPr>
        <w:numPr>
          <w:ilvl w:val="0"/>
          <w:numId w:val="4"/>
        </w:numPr>
        <w:spacing w:line="360" w:lineRule="auto"/>
        <w:rPr>
          <w:rFonts w:ascii="Times New Roman" w:hAnsi="Times New Roman" w:cs="Times New Roman"/>
          <w:sz w:val="24"/>
        </w:rPr>
      </w:pPr>
      <w:r>
        <w:rPr>
          <w:rFonts w:ascii="Times New Roman" w:hAnsi="Times New Roman" w:cs="Times New Roman"/>
          <w:sz w:val="24"/>
        </w:rPr>
        <w:t>Major breakthroughs with significant impact on technology translation and engineering implementation;</w:t>
      </w:r>
    </w:p>
    <w:p w14:paraId="682C241A" w14:textId="77777777" w:rsidR="00D80D5D" w:rsidRDefault="00000000">
      <w:pPr>
        <w:numPr>
          <w:ilvl w:val="0"/>
          <w:numId w:val="4"/>
        </w:numPr>
        <w:spacing w:line="360" w:lineRule="auto"/>
        <w:rPr>
          <w:rFonts w:ascii="Times New Roman" w:hAnsi="Times New Roman" w:cs="Times New Roman"/>
          <w:sz w:val="24"/>
        </w:rPr>
      </w:pPr>
      <w:r>
        <w:rPr>
          <w:rFonts w:ascii="Times New Roman" w:hAnsi="Times New Roman" w:cs="Times New Roman"/>
          <w:sz w:val="24"/>
        </w:rPr>
        <w:t>Scientific discoveries that play a leading role in interdisciplinary integration and innovation.</w:t>
      </w:r>
    </w:p>
    <w:p w14:paraId="27CD944A" w14:textId="77777777" w:rsidR="00D80D5D" w:rsidRDefault="00000000" w:rsidP="0014395B">
      <w:pPr>
        <w:adjustRightInd w:val="0"/>
        <w:snapToGrid w:val="0"/>
        <w:spacing w:beforeLines="100" w:before="312" w:line="360" w:lineRule="auto"/>
        <w:rPr>
          <w:rFonts w:ascii="Times New Roman" w:hAnsi="Times New Roman" w:cs="Times New Roman"/>
          <w:b/>
          <w:bCs/>
          <w:sz w:val="24"/>
          <w14:ligatures w14:val="standardContextual"/>
        </w:rPr>
      </w:pPr>
      <w:r>
        <w:rPr>
          <w:rFonts w:ascii="Times New Roman" w:hAnsi="Times New Roman" w:cs="Times New Roman"/>
          <w:b/>
          <w:bCs/>
          <w:sz w:val="24"/>
          <w14:ligatures w14:val="standardContextual"/>
        </w:rPr>
        <w:lastRenderedPageBreak/>
        <w:t>III</w:t>
      </w:r>
      <w:r>
        <w:rPr>
          <w:rFonts w:ascii="Times New Roman" w:hAnsi="Times New Roman" w:cs="Times New Roman" w:hint="eastAsia"/>
          <w:b/>
          <w:bCs/>
          <w:sz w:val="24"/>
          <w14:ligatures w14:val="standardContextual"/>
        </w:rPr>
        <w:t>.</w:t>
      </w:r>
      <w:r>
        <w:rPr>
          <w:rFonts w:ascii="Times New Roman" w:hAnsi="Times New Roman" w:cs="Times New Roman"/>
          <w:b/>
          <w:bCs/>
          <w:sz w:val="24"/>
          <w14:ligatures w14:val="standardContextual"/>
        </w:rPr>
        <w:t xml:space="preserve"> Eligibility of Candidates</w:t>
      </w:r>
    </w:p>
    <w:p w14:paraId="2FD939B8" w14:textId="77777777" w:rsidR="00D80D5D" w:rsidRDefault="00000000">
      <w:pPr>
        <w:numPr>
          <w:ilvl w:val="0"/>
          <w:numId w:val="5"/>
        </w:numPr>
        <w:spacing w:line="360" w:lineRule="auto"/>
        <w:rPr>
          <w:rFonts w:ascii="Times New Roman" w:hAnsi="Times New Roman" w:cs="Times New Roman"/>
          <w:sz w:val="24"/>
        </w:rPr>
      </w:pPr>
      <w:r>
        <w:rPr>
          <w:rFonts w:ascii="Times New Roman" w:hAnsi="Times New Roman" w:cs="Times New Roman"/>
          <w:sz w:val="24"/>
        </w:rPr>
        <w:t>The Micius Award Series is open to researchers worldwide engaged in Engineered Science and related fields, without restriction on nationality, region, or gender.</w:t>
      </w:r>
    </w:p>
    <w:p w14:paraId="58A05538" w14:textId="77777777" w:rsidR="00D80D5D" w:rsidRDefault="00000000">
      <w:pPr>
        <w:numPr>
          <w:ilvl w:val="0"/>
          <w:numId w:val="6"/>
        </w:numPr>
        <w:spacing w:line="360" w:lineRule="auto"/>
        <w:rPr>
          <w:rFonts w:ascii="Times New Roman" w:hAnsi="Times New Roman" w:cs="Times New Roman"/>
          <w:sz w:val="24"/>
        </w:rPr>
      </w:pPr>
      <w:r>
        <w:rPr>
          <w:rFonts w:ascii="Times New Roman" w:hAnsi="Times New Roman" w:cs="Times New Roman"/>
          <w:sz w:val="24"/>
        </w:rPr>
        <w:t>Candidates must adhere to the highest standards of academic ethics and research integrity and must have no record of scientific misconduct.</w:t>
      </w:r>
    </w:p>
    <w:p w14:paraId="19CC6D82" w14:textId="77777777" w:rsidR="00D80D5D" w:rsidRDefault="00000000">
      <w:pPr>
        <w:numPr>
          <w:ilvl w:val="0"/>
          <w:numId w:val="6"/>
        </w:numPr>
        <w:spacing w:line="360" w:lineRule="auto"/>
        <w:rPr>
          <w:rFonts w:ascii="Times New Roman" w:hAnsi="Times New Roman" w:cs="Times New Roman"/>
          <w:sz w:val="24"/>
        </w:rPr>
      </w:pPr>
      <w:r>
        <w:rPr>
          <w:rFonts w:ascii="Times New Roman" w:hAnsi="Times New Roman" w:cs="Times New Roman"/>
          <w:sz w:val="24"/>
        </w:rPr>
        <w:t>Candidates shall satisfy the following requirements:</w:t>
      </w:r>
    </w:p>
    <w:p w14:paraId="612D047E" w14:textId="77777777"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t>(1) ESS Micius Award</w:t>
      </w:r>
    </w:p>
    <w:p w14:paraId="1CD8F06B" w14:textId="77777777"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t>Candidates shall have achieved internationally recognized major scientific and technological accomplishments and demonstrated long-term leadership in advancing the discipline.</w:t>
      </w:r>
    </w:p>
    <w:p w14:paraId="3AFAE086" w14:textId="77777777"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t>(2) ESS Micius Outstanding Young Award</w:t>
      </w:r>
    </w:p>
    <w:p w14:paraId="53EBD292" w14:textId="77777777"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t>Candidates shall be no more than 55 years of age and demonstrate original scientific achievements together with sustained innovation potential.</w:t>
      </w:r>
    </w:p>
    <w:p w14:paraId="3A51FD3D" w14:textId="77777777"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t>(3) ESS Micius Rising-Star Award</w:t>
      </w:r>
    </w:p>
    <w:p w14:paraId="6FD3EC29" w14:textId="77777777" w:rsidR="00D80D5D" w:rsidRDefault="00000000">
      <w:pPr>
        <w:spacing w:line="360" w:lineRule="auto"/>
        <w:ind w:leftChars="100" w:left="210"/>
        <w:rPr>
          <w:rFonts w:ascii="Times New Roman" w:hAnsi="Times New Roman" w:cs="Times New Roman"/>
          <w:sz w:val="24"/>
        </w:rPr>
      </w:pPr>
      <w:r>
        <w:rPr>
          <w:rFonts w:ascii="Times New Roman" w:hAnsi="Times New Roman" w:cs="Times New Roman"/>
          <w:sz w:val="24"/>
        </w:rPr>
        <w:t>Candidates shall be no more than 45 years of age and exhibit exceptional promise to become future academic leaders.</w:t>
      </w:r>
    </w:p>
    <w:p w14:paraId="22F32110" w14:textId="77777777" w:rsidR="00D80D5D" w:rsidRDefault="00000000">
      <w:pPr>
        <w:numPr>
          <w:ilvl w:val="0"/>
          <w:numId w:val="6"/>
        </w:numPr>
        <w:spacing w:line="360" w:lineRule="auto"/>
        <w:rPr>
          <w:rFonts w:ascii="Times New Roman" w:hAnsi="Times New Roman" w:cs="Times New Roman"/>
          <w:sz w:val="24"/>
        </w:rPr>
      </w:pPr>
      <w:r>
        <w:rPr>
          <w:rFonts w:ascii="Times New Roman" w:hAnsi="Times New Roman" w:cs="Times New Roman"/>
          <w:sz w:val="24"/>
        </w:rPr>
        <w:t>A candidate may not be nominated simultaneously for multiple categories within the Micius Award Series during the same award cycle.</w:t>
      </w:r>
    </w:p>
    <w:p w14:paraId="2DE9E77E" w14:textId="77777777" w:rsidR="00D80D5D" w:rsidRDefault="00000000" w:rsidP="0014395B">
      <w:pPr>
        <w:adjustRightInd w:val="0"/>
        <w:snapToGrid w:val="0"/>
        <w:spacing w:beforeLines="100" w:before="312" w:line="360" w:lineRule="auto"/>
        <w:rPr>
          <w:rFonts w:ascii="Times New Roman" w:hAnsi="Times New Roman" w:cs="Times New Roman"/>
          <w:b/>
          <w:bCs/>
          <w:sz w:val="24"/>
          <w14:ligatures w14:val="standardContextual"/>
        </w:rPr>
      </w:pPr>
      <w:r>
        <w:rPr>
          <w:rFonts w:ascii="Times New Roman" w:hAnsi="Times New Roman" w:cs="Times New Roman"/>
          <w:b/>
          <w:bCs/>
          <w:sz w:val="24"/>
          <w14:ligatures w14:val="standardContextual"/>
        </w:rPr>
        <w:t>IV</w:t>
      </w:r>
      <w:r>
        <w:rPr>
          <w:rFonts w:ascii="Times New Roman" w:hAnsi="Times New Roman" w:cs="Times New Roman" w:hint="eastAsia"/>
          <w:b/>
          <w:bCs/>
          <w:sz w:val="24"/>
          <w14:ligatures w14:val="standardContextual"/>
        </w:rPr>
        <w:t>.</w:t>
      </w:r>
      <w:r>
        <w:rPr>
          <w:rFonts w:ascii="Times New Roman" w:hAnsi="Times New Roman" w:cs="Times New Roman"/>
          <w:b/>
          <w:bCs/>
          <w:sz w:val="24"/>
          <w14:ligatures w14:val="standardContextual"/>
        </w:rPr>
        <w:t xml:space="preserve"> Nomination System</w:t>
      </w:r>
    </w:p>
    <w:p w14:paraId="0805C59A" w14:textId="77777777" w:rsidR="00D80D5D" w:rsidRDefault="00000000">
      <w:pPr>
        <w:numPr>
          <w:ilvl w:val="0"/>
          <w:numId w:val="7"/>
        </w:numPr>
        <w:spacing w:line="360" w:lineRule="auto"/>
        <w:rPr>
          <w:rFonts w:ascii="Times New Roman" w:hAnsi="Times New Roman" w:cs="Times New Roman"/>
          <w:sz w:val="24"/>
        </w:rPr>
      </w:pPr>
      <w:r>
        <w:rPr>
          <w:rFonts w:ascii="Times New Roman" w:hAnsi="Times New Roman" w:cs="Times New Roman"/>
          <w:sz w:val="24"/>
        </w:rPr>
        <w:t>The Micius Award Series adopts a strict nomination system and does not accept self-nominations.</w:t>
      </w:r>
    </w:p>
    <w:p w14:paraId="5F606CB8" w14:textId="6984C54D" w:rsidR="00D80D5D" w:rsidRDefault="00000000">
      <w:pPr>
        <w:numPr>
          <w:ilvl w:val="0"/>
          <w:numId w:val="7"/>
        </w:numPr>
        <w:spacing w:line="360" w:lineRule="auto"/>
        <w:rPr>
          <w:rFonts w:ascii="Times New Roman" w:hAnsi="Times New Roman" w:cs="Times New Roman"/>
          <w:sz w:val="24"/>
        </w:rPr>
      </w:pPr>
      <w:r>
        <w:rPr>
          <w:rFonts w:ascii="Times New Roman" w:hAnsi="Times New Roman" w:cs="Times New Roman"/>
          <w:sz w:val="24"/>
        </w:rPr>
        <w:t xml:space="preserve">Nominators shall be scientists possessing internationally recognized academic standing and distinguished research achievements in </w:t>
      </w:r>
      <w:r w:rsidR="0044042B">
        <w:rPr>
          <w:rFonts w:ascii="Times New Roman" w:hAnsi="Times New Roman" w:cs="Times New Roman" w:hint="eastAsia"/>
          <w:sz w:val="24"/>
        </w:rPr>
        <w:t>e</w:t>
      </w:r>
      <w:r>
        <w:rPr>
          <w:rFonts w:ascii="Times New Roman" w:hAnsi="Times New Roman" w:cs="Times New Roman"/>
          <w:sz w:val="24"/>
        </w:rPr>
        <w:t xml:space="preserve">ngineered </w:t>
      </w:r>
      <w:r w:rsidR="0044042B">
        <w:rPr>
          <w:rFonts w:ascii="Times New Roman" w:hAnsi="Times New Roman" w:cs="Times New Roman" w:hint="eastAsia"/>
          <w:sz w:val="24"/>
        </w:rPr>
        <w:t>s</w:t>
      </w:r>
      <w:r>
        <w:rPr>
          <w:rFonts w:ascii="Times New Roman" w:hAnsi="Times New Roman" w:cs="Times New Roman"/>
          <w:sz w:val="24"/>
        </w:rPr>
        <w:t>cience and shall satisfy at least one of the following conditions:</w:t>
      </w:r>
    </w:p>
    <w:p w14:paraId="0554C944" w14:textId="77777777" w:rsidR="00D80D5D" w:rsidRDefault="00000000">
      <w:pPr>
        <w:numPr>
          <w:ilvl w:val="0"/>
          <w:numId w:val="8"/>
        </w:numPr>
        <w:spacing w:line="360" w:lineRule="auto"/>
        <w:rPr>
          <w:rFonts w:ascii="Times New Roman" w:hAnsi="Times New Roman" w:cs="Times New Roman"/>
          <w:sz w:val="24"/>
        </w:rPr>
      </w:pPr>
      <w:r>
        <w:rPr>
          <w:rFonts w:ascii="Times New Roman" w:hAnsi="Times New Roman" w:cs="Times New Roman"/>
          <w:sz w:val="24"/>
        </w:rPr>
        <w:t>Senior scientists with significant influence in the international scientific community and long-standing engagement at the forefront of research;</w:t>
      </w:r>
    </w:p>
    <w:p w14:paraId="0BD2D594" w14:textId="77777777" w:rsidR="00D80D5D" w:rsidRDefault="00000000">
      <w:pPr>
        <w:numPr>
          <w:ilvl w:val="0"/>
          <w:numId w:val="8"/>
        </w:numPr>
        <w:spacing w:line="360" w:lineRule="auto"/>
        <w:rPr>
          <w:rFonts w:ascii="Times New Roman" w:hAnsi="Times New Roman" w:cs="Times New Roman"/>
          <w:sz w:val="24"/>
        </w:rPr>
      </w:pPr>
      <w:r>
        <w:rPr>
          <w:rFonts w:ascii="Times New Roman" w:hAnsi="Times New Roman" w:cs="Times New Roman"/>
          <w:sz w:val="24"/>
        </w:rPr>
        <w:t>Distinguished scholars who have received major international scientific awards for representative original contributions;</w:t>
      </w:r>
    </w:p>
    <w:p w14:paraId="6E708E3B" w14:textId="77777777" w:rsidR="00D80D5D" w:rsidRDefault="00000000">
      <w:pPr>
        <w:numPr>
          <w:ilvl w:val="0"/>
          <w:numId w:val="8"/>
        </w:numPr>
        <w:spacing w:line="360" w:lineRule="auto"/>
        <w:rPr>
          <w:rFonts w:ascii="Times New Roman" w:hAnsi="Times New Roman" w:cs="Times New Roman"/>
          <w:sz w:val="24"/>
        </w:rPr>
      </w:pPr>
      <w:r>
        <w:rPr>
          <w:rFonts w:ascii="Times New Roman" w:hAnsi="Times New Roman" w:cs="Times New Roman"/>
          <w:sz w:val="24"/>
        </w:rPr>
        <w:t xml:space="preserve">Recognized authorities whose scientific contributions have played a pivotal </w:t>
      </w:r>
      <w:r>
        <w:rPr>
          <w:rFonts w:ascii="Times New Roman" w:hAnsi="Times New Roman" w:cs="Times New Roman"/>
          <w:sz w:val="24"/>
        </w:rPr>
        <w:lastRenderedPageBreak/>
        <w:t>role in advancing Engineered Science and are widely acknowledged by international peers.</w:t>
      </w:r>
    </w:p>
    <w:p w14:paraId="60727944" w14:textId="77777777" w:rsidR="00D80D5D" w:rsidRDefault="00000000">
      <w:pPr>
        <w:numPr>
          <w:ilvl w:val="0"/>
          <w:numId w:val="7"/>
        </w:numPr>
        <w:spacing w:line="360" w:lineRule="auto"/>
        <w:rPr>
          <w:rFonts w:ascii="Times New Roman" w:hAnsi="Times New Roman" w:cs="Times New Roman"/>
          <w:sz w:val="24"/>
        </w:rPr>
      </w:pPr>
      <w:r>
        <w:rPr>
          <w:rFonts w:ascii="Times New Roman" w:hAnsi="Times New Roman" w:cs="Times New Roman"/>
          <w:sz w:val="24"/>
        </w:rPr>
        <w:t>Each nominator may nominate no more than three candidates per year in principle.</w:t>
      </w:r>
    </w:p>
    <w:p w14:paraId="1D31689A" w14:textId="5DF1E34F" w:rsidR="00D80D5D" w:rsidRDefault="00000000" w:rsidP="0014395B">
      <w:pPr>
        <w:adjustRightInd w:val="0"/>
        <w:snapToGrid w:val="0"/>
        <w:spacing w:beforeLines="100" w:before="312" w:line="360" w:lineRule="auto"/>
        <w:rPr>
          <w:rFonts w:ascii="Times New Roman" w:hAnsi="Times New Roman" w:cs="Times New Roman"/>
          <w:b/>
          <w:bCs/>
          <w:sz w:val="24"/>
          <w14:ligatures w14:val="standardContextual"/>
        </w:rPr>
      </w:pPr>
      <w:r>
        <w:rPr>
          <w:rFonts w:ascii="Times New Roman" w:hAnsi="Times New Roman" w:cs="Times New Roman"/>
          <w:b/>
          <w:bCs/>
          <w:sz w:val="24"/>
          <w14:ligatures w14:val="standardContextual"/>
        </w:rPr>
        <w:t>V</w:t>
      </w:r>
      <w:r>
        <w:rPr>
          <w:rFonts w:ascii="Times New Roman" w:hAnsi="Times New Roman" w:cs="Times New Roman" w:hint="eastAsia"/>
          <w:b/>
          <w:bCs/>
          <w:sz w:val="24"/>
          <w14:ligatures w14:val="standardContextual"/>
        </w:rPr>
        <w:t>.</w:t>
      </w:r>
      <w:r>
        <w:rPr>
          <w:rFonts w:ascii="Times New Roman" w:hAnsi="Times New Roman" w:cs="Times New Roman"/>
          <w:b/>
          <w:bCs/>
          <w:sz w:val="24"/>
          <w14:ligatures w14:val="standardContextual"/>
        </w:rPr>
        <w:t xml:space="preserve"> Review Organization and Procedures</w:t>
      </w:r>
    </w:p>
    <w:p w14:paraId="665A8C0D" w14:textId="77777777" w:rsidR="00D80D5D" w:rsidRDefault="00000000">
      <w:pPr>
        <w:numPr>
          <w:ilvl w:val="0"/>
          <w:numId w:val="9"/>
        </w:numPr>
        <w:spacing w:line="360" w:lineRule="auto"/>
        <w:rPr>
          <w:rFonts w:ascii="Times New Roman" w:hAnsi="Times New Roman" w:cs="Times New Roman"/>
          <w:sz w:val="24"/>
        </w:rPr>
      </w:pPr>
      <w:r>
        <w:rPr>
          <w:rFonts w:ascii="Times New Roman" w:hAnsi="Times New Roman" w:cs="Times New Roman"/>
          <w:sz w:val="24"/>
        </w:rPr>
        <w:t>The evaluation process shall be conducted through the following bodies:</w:t>
      </w:r>
    </w:p>
    <w:p w14:paraId="02C56276" w14:textId="77777777" w:rsidR="00D80D5D" w:rsidRDefault="00000000">
      <w:pPr>
        <w:numPr>
          <w:ilvl w:val="0"/>
          <w:numId w:val="10"/>
        </w:numPr>
        <w:spacing w:line="360" w:lineRule="auto"/>
        <w:rPr>
          <w:rFonts w:ascii="Times New Roman" w:hAnsi="Times New Roman" w:cs="Times New Roman"/>
          <w:sz w:val="24"/>
        </w:rPr>
      </w:pPr>
      <w:r>
        <w:rPr>
          <w:rFonts w:ascii="Times New Roman" w:hAnsi="Times New Roman" w:cs="Times New Roman"/>
          <w:sz w:val="24"/>
        </w:rPr>
        <w:t>Micius Award Series Office, responsible for eligibility verification, documentation management, and review coordination;</w:t>
      </w:r>
    </w:p>
    <w:p w14:paraId="0F1F5847" w14:textId="77777777" w:rsidR="00D80D5D" w:rsidRDefault="00000000">
      <w:pPr>
        <w:numPr>
          <w:ilvl w:val="0"/>
          <w:numId w:val="10"/>
        </w:numPr>
        <w:spacing w:line="360" w:lineRule="auto"/>
        <w:rPr>
          <w:rFonts w:ascii="Times New Roman" w:hAnsi="Times New Roman" w:cs="Times New Roman"/>
          <w:sz w:val="24"/>
        </w:rPr>
      </w:pPr>
      <w:r>
        <w:rPr>
          <w:rFonts w:ascii="Times New Roman" w:hAnsi="Times New Roman" w:cs="Times New Roman"/>
          <w:sz w:val="24"/>
        </w:rPr>
        <w:t>Micius Award Series Evaluation Committee, composed of international experts responsible for preliminary review and academic assessment;</w:t>
      </w:r>
    </w:p>
    <w:p w14:paraId="1B70A83A" w14:textId="77777777" w:rsidR="00D80D5D" w:rsidRDefault="00000000">
      <w:pPr>
        <w:numPr>
          <w:ilvl w:val="0"/>
          <w:numId w:val="10"/>
        </w:numPr>
        <w:spacing w:line="360" w:lineRule="auto"/>
        <w:rPr>
          <w:rFonts w:ascii="Times New Roman" w:hAnsi="Times New Roman" w:cs="Times New Roman"/>
          <w:sz w:val="24"/>
        </w:rPr>
      </w:pPr>
      <w:r>
        <w:rPr>
          <w:rFonts w:ascii="Times New Roman" w:hAnsi="Times New Roman" w:cs="Times New Roman"/>
          <w:sz w:val="24"/>
        </w:rPr>
        <w:t>Academic Committee for ESS Honorary Awards, responsible for final review and voting and serving as the ultimate decision-making body.</w:t>
      </w:r>
    </w:p>
    <w:p w14:paraId="3FA1F9D7" w14:textId="77777777" w:rsidR="00D80D5D" w:rsidRDefault="00000000">
      <w:pPr>
        <w:numPr>
          <w:ilvl w:val="0"/>
          <w:numId w:val="9"/>
        </w:numPr>
        <w:spacing w:line="360" w:lineRule="auto"/>
        <w:rPr>
          <w:rFonts w:ascii="Times New Roman" w:hAnsi="Times New Roman" w:cs="Times New Roman"/>
          <w:sz w:val="24"/>
        </w:rPr>
      </w:pPr>
      <w:r>
        <w:rPr>
          <w:rFonts w:ascii="Times New Roman" w:hAnsi="Times New Roman" w:cs="Times New Roman"/>
          <w:sz w:val="24"/>
        </w:rPr>
        <w:t>The evaluation process includes:</w:t>
      </w:r>
    </w:p>
    <w:p w14:paraId="72F53F7F" w14:textId="77777777" w:rsidR="00D80D5D" w:rsidRDefault="00000000">
      <w:pPr>
        <w:numPr>
          <w:ilvl w:val="0"/>
          <w:numId w:val="11"/>
        </w:numPr>
        <w:spacing w:line="360" w:lineRule="auto"/>
        <w:rPr>
          <w:rFonts w:ascii="Times New Roman" w:hAnsi="Times New Roman" w:cs="Times New Roman"/>
          <w:sz w:val="24"/>
        </w:rPr>
      </w:pPr>
      <w:r>
        <w:rPr>
          <w:rFonts w:ascii="Times New Roman" w:hAnsi="Times New Roman" w:cs="Times New Roman"/>
          <w:sz w:val="24"/>
        </w:rPr>
        <w:t>Eligibility screening;</w:t>
      </w:r>
    </w:p>
    <w:p w14:paraId="76EB88F6" w14:textId="77777777" w:rsidR="00D80D5D" w:rsidRDefault="00000000">
      <w:pPr>
        <w:numPr>
          <w:ilvl w:val="0"/>
          <w:numId w:val="11"/>
        </w:numPr>
        <w:spacing w:line="360" w:lineRule="auto"/>
        <w:rPr>
          <w:rFonts w:ascii="Times New Roman" w:hAnsi="Times New Roman" w:cs="Times New Roman"/>
          <w:sz w:val="24"/>
        </w:rPr>
      </w:pPr>
      <w:r>
        <w:rPr>
          <w:rFonts w:ascii="Times New Roman" w:hAnsi="Times New Roman" w:cs="Times New Roman"/>
          <w:sz w:val="24"/>
        </w:rPr>
        <w:t>Preliminary assessment and anonymous expert review;</w:t>
      </w:r>
    </w:p>
    <w:p w14:paraId="11520772" w14:textId="77777777" w:rsidR="00D80D5D" w:rsidRDefault="00000000">
      <w:pPr>
        <w:numPr>
          <w:ilvl w:val="0"/>
          <w:numId w:val="11"/>
        </w:numPr>
        <w:spacing w:line="360" w:lineRule="auto"/>
        <w:rPr>
          <w:rFonts w:ascii="Times New Roman" w:hAnsi="Times New Roman" w:cs="Times New Roman"/>
          <w:sz w:val="24"/>
        </w:rPr>
      </w:pPr>
      <w:r>
        <w:rPr>
          <w:rFonts w:ascii="Times New Roman" w:hAnsi="Times New Roman" w:cs="Times New Roman"/>
          <w:sz w:val="24"/>
        </w:rPr>
        <w:t>Academic deliberation by the Evaluation Committee;</w:t>
      </w:r>
    </w:p>
    <w:p w14:paraId="6B1A22D4" w14:textId="77777777" w:rsidR="00D80D5D" w:rsidRDefault="00000000">
      <w:pPr>
        <w:numPr>
          <w:ilvl w:val="0"/>
          <w:numId w:val="11"/>
        </w:numPr>
        <w:spacing w:line="360" w:lineRule="auto"/>
        <w:rPr>
          <w:rFonts w:ascii="Times New Roman" w:hAnsi="Times New Roman" w:cs="Times New Roman"/>
          <w:sz w:val="24"/>
        </w:rPr>
      </w:pPr>
      <w:r>
        <w:rPr>
          <w:rFonts w:ascii="Times New Roman" w:hAnsi="Times New Roman" w:cs="Times New Roman"/>
          <w:sz w:val="24"/>
        </w:rPr>
        <w:t>Voting by the Academic Committee for ESS Honorary Awards, requiring approval by no less than a two-thirds majority of all members;</w:t>
      </w:r>
    </w:p>
    <w:p w14:paraId="52B4B7A2" w14:textId="77777777" w:rsidR="00D80D5D" w:rsidRDefault="00000000">
      <w:pPr>
        <w:numPr>
          <w:ilvl w:val="0"/>
          <w:numId w:val="11"/>
        </w:numPr>
        <w:spacing w:line="360" w:lineRule="auto"/>
        <w:rPr>
          <w:rFonts w:ascii="Times New Roman" w:hAnsi="Times New Roman" w:cs="Times New Roman"/>
          <w:sz w:val="24"/>
        </w:rPr>
      </w:pPr>
      <w:r>
        <w:rPr>
          <w:rFonts w:ascii="Times New Roman" w:hAnsi="Times New Roman" w:cs="Times New Roman"/>
          <w:sz w:val="24"/>
        </w:rPr>
        <w:t>Formal confirmation and presentation of the award.</w:t>
      </w:r>
    </w:p>
    <w:p w14:paraId="48F87E12" w14:textId="77777777" w:rsidR="00D80D5D" w:rsidRDefault="00000000">
      <w:pPr>
        <w:numPr>
          <w:ilvl w:val="0"/>
          <w:numId w:val="9"/>
        </w:numPr>
        <w:spacing w:line="360" w:lineRule="auto"/>
        <w:rPr>
          <w:rFonts w:ascii="Times New Roman" w:hAnsi="Times New Roman" w:cs="Times New Roman"/>
          <w:sz w:val="24"/>
        </w:rPr>
      </w:pPr>
      <w:r>
        <w:rPr>
          <w:rFonts w:ascii="Times New Roman" w:hAnsi="Times New Roman" w:cs="Times New Roman"/>
          <w:sz w:val="24"/>
        </w:rPr>
        <w:t>The following confidentiality principles shall apply:</w:t>
      </w:r>
    </w:p>
    <w:p w14:paraId="20D9061B" w14:textId="77777777" w:rsidR="00D80D5D" w:rsidRDefault="00000000">
      <w:pPr>
        <w:numPr>
          <w:ilvl w:val="0"/>
          <w:numId w:val="12"/>
        </w:numPr>
        <w:spacing w:line="360" w:lineRule="auto"/>
        <w:rPr>
          <w:rFonts w:ascii="Times New Roman" w:hAnsi="Times New Roman" w:cs="Times New Roman"/>
          <w:sz w:val="24"/>
        </w:rPr>
      </w:pPr>
      <w:r>
        <w:rPr>
          <w:rFonts w:ascii="Times New Roman" w:hAnsi="Times New Roman" w:cs="Times New Roman"/>
          <w:sz w:val="24"/>
        </w:rPr>
        <w:t>All nomination, evaluation, and voting procedures shall remain strictly confidential;</w:t>
      </w:r>
    </w:p>
    <w:p w14:paraId="754B9B0D" w14:textId="77777777" w:rsidR="00D80D5D" w:rsidRDefault="00000000">
      <w:pPr>
        <w:numPr>
          <w:ilvl w:val="0"/>
          <w:numId w:val="12"/>
        </w:numPr>
        <w:spacing w:line="360" w:lineRule="auto"/>
        <w:rPr>
          <w:rFonts w:ascii="Times New Roman" w:hAnsi="Times New Roman" w:cs="Times New Roman"/>
          <w:sz w:val="24"/>
        </w:rPr>
      </w:pPr>
      <w:r>
        <w:rPr>
          <w:rFonts w:ascii="Times New Roman" w:hAnsi="Times New Roman" w:cs="Times New Roman"/>
          <w:sz w:val="24"/>
        </w:rPr>
        <w:t>Information regarding candidates shall not be disclosed publicly during the review process;</w:t>
      </w:r>
    </w:p>
    <w:p w14:paraId="792B7770" w14:textId="77777777" w:rsidR="00D80D5D" w:rsidRDefault="00000000">
      <w:pPr>
        <w:numPr>
          <w:ilvl w:val="0"/>
          <w:numId w:val="12"/>
        </w:numPr>
        <w:spacing w:line="360" w:lineRule="auto"/>
        <w:rPr>
          <w:rFonts w:ascii="Times New Roman" w:hAnsi="Times New Roman" w:cs="Times New Roman"/>
          <w:sz w:val="24"/>
        </w:rPr>
      </w:pPr>
      <w:r>
        <w:rPr>
          <w:rFonts w:ascii="Times New Roman" w:hAnsi="Times New Roman" w:cs="Times New Roman"/>
          <w:sz w:val="24"/>
        </w:rPr>
        <w:t>Award recipients shall not be informed prior to the official announcement;</w:t>
      </w:r>
    </w:p>
    <w:p w14:paraId="6BFCE754" w14:textId="77777777" w:rsidR="00D80D5D" w:rsidRDefault="00000000">
      <w:pPr>
        <w:numPr>
          <w:ilvl w:val="0"/>
          <w:numId w:val="12"/>
        </w:numPr>
        <w:spacing w:line="360" w:lineRule="auto"/>
        <w:rPr>
          <w:rFonts w:ascii="Times New Roman" w:hAnsi="Times New Roman" w:cs="Times New Roman"/>
          <w:sz w:val="24"/>
        </w:rPr>
      </w:pPr>
      <w:r>
        <w:rPr>
          <w:rFonts w:ascii="Times New Roman" w:hAnsi="Times New Roman" w:cs="Times New Roman"/>
          <w:sz w:val="24"/>
        </w:rPr>
        <w:t>Review records and evaluation materials shall be archived and maintained in accordance with ESS records management policies.</w:t>
      </w:r>
    </w:p>
    <w:p w14:paraId="56BB9A23" w14:textId="77777777" w:rsidR="00D80D5D" w:rsidRDefault="00000000">
      <w:pPr>
        <w:numPr>
          <w:ilvl w:val="0"/>
          <w:numId w:val="9"/>
        </w:numPr>
        <w:spacing w:line="360" w:lineRule="auto"/>
        <w:rPr>
          <w:rFonts w:ascii="Times New Roman" w:hAnsi="Times New Roman" w:cs="Times New Roman"/>
          <w:sz w:val="24"/>
        </w:rPr>
      </w:pPr>
      <w:r>
        <w:rPr>
          <w:rFonts w:ascii="Times New Roman" w:hAnsi="Times New Roman" w:cs="Times New Roman"/>
          <w:sz w:val="24"/>
        </w:rPr>
        <w:t>Members of review bodies shall comply with conflict-of-interest regulations and recuse themselves whenever a potential conflict exists.</w:t>
      </w:r>
    </w:p>
    <w:p w14:paraId="2E9B3A46" w14:textId="77777777" w:rsidR="00D80D5D" w:rsidRDefault="00000000" w:rsidP="0033661A">
      <w:pPr>
        <w:adjustRightInd w:val="0"/>
        <w:snapToGrid w:val="0"/>
        <w:spacing w:beforeLines="150" w:before="468" w:line="360" w:lineRule="auto"/>
        <w:rPr>
          <w:rFonts w:ascii="Times New Roman" w:hAnsi="Times New Roman" w:cs="Times New Roman"/>
          <w:b/>
          <w:bCs/>
          <w:sz w:val="24"/>
          <w14:ligatures w14:val="standardContextual"/>
        </w:rPr>
      </w:pPr>
      <w:r>
        <w:rPr>
          <w:rFonts w:ascii="Times New Roman" w:hAnsi="Times New Roman" w:cs="Times New Roman"/>
          <w:b/>
          <w:bCs/>
          <w:sz w:val="24"/>
          <w14:ligatures w14:val="standardContextual"/>
        </w:rPr>
        <w:lastRenderedPageBreak/>
        <w:t>VI</w:t>
      </w:r>
      <w:r>
        <w:rPr>
          <w:rFonts w:ascii="Times New Roman" w:hAnsi="Times New Roman" w:cs="Times New Roman" w:hint="eastAsia"/>
          <w:b/>
          <w:bCs/>
          <w:sz w:val="24"/>
          <w14:ligatures w14:val="standardContextual"/>
        </w:rPr>
        <w:t>.</w:t>
      </w:r>
      <w:r>
        <w:rPr>
          <w:rFonts w:ascii="Times New Roman" w:hAnsi="Times New Roman" w:cs="Times New Roman"/>
          <w:b/>
          <w:bCs/>
          <w:sz w:val="24"/>
          <w14:ligatures w14:val="standardContextual"/>
        </w:rPr>
        <w:t xml:space="preserve"> Recognition and Benefits</w:t>
      </w:r>
    </w:p>
    <w:p w14:paraId="4C7D4B81" w14:textId="77777777" w:rsidR="00D80D5D" w:rsidRDefault="00000000">
      <w:pPr>
        <w:numPr>
          <w:ilvl w:val="0"/>
          <w:numId w:val="13"/>
        </w:numPr>
        <w:spacing w:line="360" w:lineRule="auto"/>
        <w:rPr>
          <w:rFonts w:ascii="Times New Roman" w:hAnsi="Times New Roman" w:cs="Times New Roman"/>
          <w:sz w:val="24"/>
        </w:rPr>
      </w:pPr>
      <w:r>
        <w:rPr>
          <w:rFonts w:ascii="Times New Roman" w:hAnsi="Times New Roman" w:cs="Times New Roman"/>
          <w:sz w:val="24"/>
        </w:rPr>
        <w:t>Recipients of awards within the Micius Award Series shall receive:</w:t>
      </w:r>
    </w:p>
    <w:p w14:paraId="79341C04" w14:textId="77777777" w:rsidR="00D80D5D" w:rsidRDefault="00000000">
      <w:pPr>
        <w:numPr>
          <w:ilvl w:val="0"/>
          <w:numId w:val="14"/>
        </w:numPr>
        <w:spacing w:line="360" w:lineRule="auto"/>
        <w:rPr>
          <w:rFonts w:ascii="Times New Roman" w:hAnsi="Times New Roman" w:cs="Times New Roman"/>
          <w:sz w:val="24"/>
        </w:rPr>
      </w:pPr>
      <w:r>
        <w:rPr>
          <w:rFonts w:ascii="Times New Roman" w:hAnsi="Times New Roman" w:cs="Times New Roman"/>
          <w:sz w:val="24"/>
        </w:rPr>
        <w:t>An official Micius Award Series Medal;</w:t>
      </w:r>
    </w:p>
    <w:p w14:paraId="5DEB5101" w14:textId="77777777" w:rsidR="00D80D5D" w:rsidRDefault="00000000">
      <w:pPr>
        <w:numPr>
          <w:ilvl w:val="0"/>
          <w:numId w:val="14"/>
        </w:numPr>
        <w:spacing w:line="360" w:lineRule="auto"/>
        <w:rPr>
          <w:rFonts w:ascii="Times New Roman" w:hAnsi="Times New Roman" w:cs="Times New Roman"/>
          <w:sz w:val="24"/>
        </w:rPr>
      </w:pPr>
      <w:r>
        <w:rPr>
          <w:rFonts w:ascii="Times New Roman" w:hAnsi="Times New Roman" w:cs="Times New Roman"/>
          <w:sz w:val="24"/>
        </w:rPr>
        <w:t>An official Award Certificate;</w:t>
      </w:r>
    </w:p>
    <w:p w14:paraId="0825192C" w14:textId="77777777" w:rsidR="00D80D5D" w:rsidRDefault="00000000">
      <w:pPr>
        <w:numPr>
          <w:ilvl w:val="0"/>
          <w:numId w:val="14"/>
        </w:numPr>
        <w:spacing w:line="360" w:lineRule="auto"/>
        <w:rPr>
          <w:rFonts w:ascii="Times New Roman" w:hAnsi="Times New Roman" w:cs="Times New Roman"/>
          <w:sz w:val="24"/>
        </w:rPr>
      </w:pPr>
      <w:r>
        <w:rPr>
          <w:rFonts w:ascii="Times New Roman" w:hAnsi="Times New Roman" w:cs="Times New Roman"/>
          <w:sz w:val="24"/>
        </w:rPr>
        <w:t>Financial awards or research support, where applicable, in accordance with the policies announced by ESS for the respective year.</w:t>
      </w:r>
    </w:p>
    <w:p w14:paraId="5C1A9640" w14:textId="0CC2B754" w:rsidR="00D80D5D" w:rsidRDefault="00000000">
      <w:pPr>
        <w:numPr>
          <w:ilvl w:val="0"/>
          <w:numId w:val="13"/>
        </w:numPr>
        <w:spacing w:line="360" w:lineRule="auto"/>
        <w:rPr>
          <w:rFonts w:ascii="Times New Roman" w:hAnsi="Times New Roman" w:cs="Times New Roman"/>
          <w:sz w:val="24"/>
        </w:rPr>
      </w:pPr>
      <w:r>
        <w:rPr>
          <w:rFonts w:ascii="Times New Roman" w:hAnsi="Times New Roman" w:cs="Times New Roman"/>
          <w:sz w:val="24"/>
        </w:rPr>
        <w:t xml:space="preserve">Award recipients shall be officially announced through </w:t>
      </w:r>
      <w:r w:rsidR="0014395B">
        <w:rPr>
          <w:rFonts w:ascii="Times New Roman" w:hAnsi="Times New Roman" w:cs="Times New Roman"/>
          <w:sz w:val="24"/>
        </w:rPr>
        <w:t>the ESS official website,</w:t>
      </w:r>
      <w:r w:rsidR="0014395B">
        <w:rPr>
          <w:rFonts w:ascii="Times New Roman" w:hAnsi="Times New Roman" w:cs="Times New Roman" w:hint="eastAsia"/>
          <w:sz w:val="24"/>
        </w:rPr>
        <w:t xml:space="preserve"> </w:t>
      </w:r>
      <w:r>
        <w:rPr>
          <w:rFonts w:ascii="Times New Roman" w:hAnsi="Times New Roman" w:cs="Times New Roman"/>
          <w:sz w:val="24"/>
        </w:rPr>
        <w:t>the International Conference on Engineered Science (ICES), and ESS international academic publication platforms.</w:t>
      </w:r>
    </w:p>
    <w:p w14:paraId="13FD8814" w14:textId="77777777" w:rsidR="00D80D5D" w:rsidRDefault="00000000" w:rsidP="0014395B">
      <w:pPr>
        <w:adjustRightInd w:val="0"/>
        <w:snapToGrid w:val="0"/>
        <w:spacing w:beforeLines="100" w:before="312" w:line="360" w:lineRule="auto"/>
        <w:rPr>
          <w:rFonts w:ascii="Times New Roman" w:hAnsi="Times New Roman" w:cs="Times New Roman"/>
          <w:b/>
          <w:bCs/>
          <w:sz w:val="24"/>
          <w14:ligatures w14:val="standardContextual"/>
        </w:rPr>
      </w:pPr>
      <w:r>
        <w:rPr>
          <w:rFonts w:ascii="Times New Roman" w:hAnsi="Times New Roman" w:cs="Times New Roman"/>
          <w:b/>
          <w:bCs/>
          <w:sz w:val="24"/>
          <w14:ligatures w14:val="standardContextual"/>
        </w:rPr>
        <w:t>VII</w:t>
      </w:r>
      <w:r>
        <w:rPr>
          <w:rFonts w:ascii="Times New Roman" w:hAnsi="Times New Roman" w:cs="Times New Roman" w:hint="eastAsia"/>
          <w:b/>
          <w:bCs/>
          <w:sz w:val="24"/>
          <w14:ligatures w14:val="standardContextual"/>
        </w:rPr>
        <w:t>.</w:t>
      </w:r>
      <w:r>
        <w:rPr>
          <w:rFonts w:ascii="Times New Roman" w:hAnsi="Times New Roman" w:cs="Times New Roman"/>
          <w:b/>
          <w:bCs/>
          <w:sz w:val="24"/>
          <w14:ligatures w14:val="standardContextual"/>
        </w:rPr>
        <w:t xml:space="preserve"> Organization and International Cooperation</w:t>
      </w:r>
    </w:p>
    <w:p w14:paraId="7C581167" w14:textId="79A91E81" w:rsidR="00D80D5D" w:rsidRDefault="00000000">
      <w:pPr>
        <w:numPr>
          <w:ilvl w:val="0"/>
          <w:numId w:val="15"/>
        </w:numPr>
        <w:spacing w:line="360" w:lineRule="auto"/>
        <w:rPr>
          <w:rFonts w:ascii="Times New Roman" w:hAnsi="Times New Roman" w:cs="Times New Roman"/>
          <w:sz w:val="24"/>
        </w:rPr>
      </w:pPr>
      <w:r>
        <w:rPr>
          <w:rFonts w:ascii="Times New Roman" w:hAnsi="Times New Roman" w:cs="Times New Roman"/>
          <w:sz w:val="24"/>
        </w:rPr>
        <w:t xml:space="preserve">ESS maintains long-term collaboration with research institutions worldwide to promote original breakthroughs, interdisciplinary integration, scientific innovation, and engineering applications in </w:t>
      </w:r>
      <w:r w:rsidR="0014395B">
        <w:rPr>
          <w:rFonts w:ascii="Times New Roman" w:hAnsi="Times New Roman" w:cs="Times New Roman" w:hint="eastAsia"/>
          <w:sz w:val="24"/>
        </w:rPr>
        <w:t>e</w:t>
      </w:r>
      <w:r>
        <w:rPr>
          <w:rFonts w:ascii="Times New Roman" w:hAnsi="Times New Roman" w:cs="Times New Roman"/>
          <w:sz w:val="24"/>
        </w:rPr>
        <w:t xml:space="preserve">ngineered </w:t>
      </w:r>
      <w:r w:rsidR="0014395B">
        <w:rPr>
          <w:rFonts w:ascii="Times New Roman" w:hAnsi="Times New Roman" w:cs="Times New Roman" w:hint="eastAsia"/>
          <w:sz w:val="24"/>
        </w:rPr>
        <w:t>s</w:t>
      </w:r>
      <w:r>
        <w:rPr>
          <w:rFonts w:ascii="Times New Roman" w:hAnsi="Times New Roman" w:cs="Times New Roman"/>
          <w:sz w:val="24"/>
        </w:rPr>
        <w:t>cience.</w:t>
      </w:r>
    </w:p>
    <w:p w14:paraId="120CF20C" w14:textId="77777777" w:rsidR="00D80D5D" w:rsidRDefault="00000000">
      <w:pPr>
        <w:numPr>
          <w:ilvl w:val="0"/>
          <w:numId w:val="15"/>
        </w:numPr>
        <w:spacing w:line="360" w:lineRule="auto"/>
        <w:rPr>
          <w:rFonts w:ascii="Times New Roman" w:hAnsi="Times New Roman" w:cs="Times New Roman"/>
          <w:sz w:val="24"/>
        </w:rPr>
      </w:pPr>
      <w:r>
        <w:rPr>
          <w:rFonts w:ascii="Times New Roman" w:hAnsi="Times New Roman" w:cs="Times New Roman"/>
          <w:sz w:val="24"/>
        </w:rPr>
        <w:t>The Society relies on its international academic committee system to ensure the fairness, independence, and international credibility of the Micius Award Series.</w:t>
      </w:r>
    </w:p>
    <w:p w14:paraId="25E692FD" w14:textId="77777777" w:rsidR="00D80D5D" w:rsidRDefault="00000000" w:rsidP="0014395B">
      <w:pPr>
        <w:adjustRightInd w:val="0"/>
        <w:snapToGrid w:val="0"/>
        <w:spacing w:beforeLines="100" w:before="312" w:line="360" w:lineRule="auto"/>
        <w:rPr>
          <w:rFonts w:ascii="Times New Roman" w:hAnsi="Times New Roman" w:cs="Times New Roman"/>
          <w:b/>
          <w:bCs/>
          <w:sz w:val="24"/>
          <w14:ligatures w14:val="standardContextual"/>
        </w:rPr>
      </w:pPr>
      <w:r>
        <w:rPr>
          <w:rFonts w:ascii="Times New Roman" w:hAnsi="Times New Roman" w:cs="Times New Roman"/>
          <w:b/>
          <w:bCs/>
          <w:sz w:val="24"/>
          <w14:ligatures w14:val="standardContextual"/>
        </w:rPr>
        <w:t>VIII</w:t>
      </w:r>
      <w:r>
        <w:rPr>
          <w:rFonts w:ascii="Times New Roman" w:hAnsi="Times New Roman" w:cs="Times New Roman" w:hint="eastAsia"/>
          <w:b/>
          <w:bCs/>
          <w:sz w:val="24"/>
          <w14:ligatures w14:val="standardContextual"/>
        </w:rPr>
        <w:t>.</w:t>
      </w:r>
      <w:r>
        <w:rPr>
          <w:rFonts w:ascii="Times New Roman" w:hAnsi="Times New Roman" w:cs="Times New Roman"/>
          <w:b/>
          <w:bCs/>
          <w:sz w:val="24"/>
          <w14:ligatures w14:val="standardContextual"/>
        </w:rPr>
        <w:t xml:space="preserve"> Supplementary Provisions</w:t>
      </w:r>
    </w:p>
    <w:p w14:paraId="2BBF09A0" w14:textId="77777777" w:rsidR="00D80D5D" w:rsidRDefault="00000000">
      <w:pPr>
        <w:numPr>
          <w:ilvl w:val="0"/>
          <w:numId w:val="16"/>
        </w:numPr>
        <w:spacing w:line="360" w:lineRule="auto"/>
        <w:rPr>
          <w:rFonts w:ascii="Times New Roman" w:hAnsi="Times New Roman" w:cs="Times New Roman"/>
          <w:sz w:val="24"/>
        </w:rPr>
      </w:pPr>
      <w:r>
        <w:rPr>
          <w:rFonts w:ascii="Times New Roman" w:hAnsi="Times New Roman" w:cs="Times New Roman"/>
          <w:sz w:val="24"/>
        </w:rPr>
        <w:t>This Charter is formulated and interpreted by the Engineered Science Society.</w:t>
      </w:r>
    </w:p>
    <w:p w14:paraId="310CB535" w14:textId="77777777" w:rsidR="00D80D5D" w:rsidRDefault="00000000">
      <w:pPr>
        <w:numPr>
          <w:ilvl w:val="0"/>
          <w:numId w:val="16"/>
        </w:numPr>
        <w:spacing w:line="360" w:lineRule="auto"/>
        <w:rPr>
          <w:rFonts w:ascii="Times New Roman" w:hAnsi="Times New Roman" w:cs="Times New Roman"/>
          <w:sz w:val="24"/>
        </w:rPr>
      </w:pPr>
      <w:r>
        <w:rPr>
          <w:rFonts w:ascii="Times New Roman" w:hAnsi="Times New Roman" w:cs="Times New Roman"/>
          <w:sz w:val="24"/>
        </w:rPr>
        <w:t>This Charter may be amended as necessary. Any amendment shall require review and approval by the Academic Committee for ESS Honorary Awards.</w:t>
      </w:r>
    </w:p>
    <w:p w14:paraId="1BEE1E13" w14:textId="77777777" w:rsidR="00D80D5D" w:rsidRDefault="00000000">
      <w:pPr>
        <w:numPr>
          <w:ilvl w:val="0"/>
          <w:numId w:val="16"/>
        </w:numPr>
        <w:spacing w:line="360" w:lineRule="auto"/>
        <w:rPr>
          <w:rFonts w:ascii="Times New Roman" w:hAnsi="Times New Roman" w:cs="Times New Roman"/>
          <w:sz w:val="24"/>
        </w:rPr>
      </w:pPr>
      <w:r>
        <w:rPr>
          <w:rFonts w:ascii="Times New Roman" w:hAnsi="Times New Roman" w:cs="Times New Roman"/>
          <w:sz w:val="24"/>
        </w:rPr>
        <w:t>This Charter shall enter into force upon official publication. Matters not covered herein shall be interpreted by the Academic Committee for ESS Honorary Awards.</w:t>
      </w:r>
    </w:p>
    <w:sectPr w:rsidR="00D80D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836F7" w14:textId="77777777" w:rsidR="00105F42" w:rsidRDefault="00105F42" w:rsidP="0014395B">
      <w:r>
        <w:separator/>
      </w:r>
    </w:p>
  </w:endnote>
  <w:endnote w:type="continuationSeparator" w:id="0">
    <w:p w14:paraId="7E93AF79" w14:textId="77777777" w:rsidR="00105F42" w:rsidRDefault="00105F42" w:rsidP="0014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E15B7" w14:textId="77777777" w:rsidR="00105F42" w:rsidRDefault="00105F42" w:rsidP="0014395B">
      <w:r>
        <w:separator/>
      </w:r>
    </w:p>
  </w:footnote>
  <w:footnote w:type="continuationSeparator" w:id="0">
    <w:p w14:paraId="154A2995" w14:textId="77777777" w:rsidR="00105F42" w:rsidRDefault="00105F42" w:rsidP="00143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C297F7"/>
    <w:multiLevelType w:val="singleLevel"/>
    <w:tmpl w:val="96C297F7"/>
    <w:lvl w:ilvl="0">
      <w:start w:val="1"/>
      <w:numFmt w:val="bullet"/>
      <w:lvlText w:val=""/>
      <w:lvlJc w:val="left"/>
      <w:pPr>
        <w:tabs>
          <w:tab w:val="left" w:pos="420"/>
        </w:tabs>
        <w:ind w:left="840" w:hanging="420"/>
      </w:pPr>
      <w:rPr>
        <w:rFonts w:ascii="Wingdings" w:hAnsi="Wingdings" w:hint="default"/>
        <w:sz w:val="18"/>
        <w:szCs w:val="18"/>
      </w:rPr>
    </w:lvl>
  </w:abstractNum>
  <w:abstractNum w:abstractNumId="1" w15:restartNumberingAfterBreak="0">
    <w:nsid w:val="AF5A3CE2"/>
    <w:multiLevelType w:val="singleLevel"/>
    <w:tmpl w:val="AF5A3CE2"/>
    <w:lvl w:ilvl="0">
      <w:start w:val="1"/>
      <w:numFmt w:val="bullet"/>
      <w:lvlText w:val=""/>
      <w:lvlJc w:val="left"/>
      <w:pPr>
        <w:tabs>
          <w:tab w:val="left" w:pos="420"/>
        </w:tabs>
        <w:ind w:left="840" w:hanging="420"/>
      </w:pPr>
      <w:rPr>
        <w:rFonts w:ascii="Wingdings" w:hAnsi="Wingdings" w:hint="default"/>
        <w:sz w:val="18"/>
        <w:szCs w:val="18"/>
      </w:rPr>
    </w:lvl>
  </w:abstractNum>
  <w:abstractNum w:abstractNumId="2" w15:restartNumberingAfterBreak="0">
    <w:nsid w:val="B93EEA74"/>
    <w:multiLevelType w:val="singleLevel"/>
    <w:tmpl w:val="B93EEA74"/>
    <w:lvl w:ilvl="0">
      <w:start w:val="2"/>
      <w:numFmt w:val="decimal"/>
      <w:suff w:val="space"/>
      <w:lvlText w:val="%1."/>
      <w:lvlJc w:val="left"/>
    </w:lvl>
  </w:abstractNum>
  <w:abstractNum w:abstractNumId="3" w15:restartNumberingAfterBreak="0">
    <w:nsid w:val="C4A0F28D"/>
    <w:multiLevelType w:val="singleLevel"/>
    <w:tmpl w:val="C4A0F28D"/>
    <w:lvl w:ilvl="0">
      <w:start w:val="1"/>
      <w:numFmt w:val="decimal"/>
      <w:suff w:val="space"/>
      <w:lvlText w:val="%1."/>
      <w:lvlJc w:val="left"/>
    </w:lvl>
  </w:abstractNum>
  <w:abstractNum w:abstractNumId="4" w15:restartNumberingAfterBreak="0">
    <w:nsid w:val="D678FEAD"/>
    <w:multiLevelType w:val="singleLevel"/>
    <w:tmpl w:val="D678FEAD"/>
    <w:lvl w:ilvl="0">
      <w:start w:val="1"/>
      <w:numFmt w:val="decimal"/>
      <w:suff w:val="space"/>
      <w:lvlText w:val="%1."/>
      <w:lvlJc w:val="left"/>
    </w:lvl>
  </w:abstractNum>
  <w:abstractNum w:abstractNumId="5" w15:restartNumberingAfterBreak="0">
    <w:nsid w:val="DFB64FCA"/>
    <w:multiLevelType w:val="singleLevel"/>
    <w:tmpl w:val="DFB64FCA"/>
    <w:lvl w:ilvl="0">
      <w:start w:val="1"/>
      <w:numFmt w:val="bullet"/>
      <w:lvlText w:val=""/>
      <w:lvlJc w:val="left"/>
      <w:pPr>
        <w:tabs>
          <w:tab w:val="left" w:pos="420"/>
        </w:tabs>
        <w:ind w:left="840" w:hanging="420"/>
      </w:pPr>
      <w:rPr>
        <w:rFonts w:ascii="Wingdings" w:hAnsi="Wingdings" w:hint="default"/>
        <w:sz w:val="18"/>
        <w:szCs w:val="18"/>
      </w:rPr>
    </w:lvl>
  </w:abstractNum>
  <w:abstractNum w:abstractNumId="6" w15:restartNumberingAfterBreak="0">
    <w:nsid w:val="E239C5C9"/>
    <w:multiLevelType w:val="singleLevel"/>
    <w:tmpl w:val="E239C5C9"/>
    <w:lvl w:ilvl="0">
      <w:start w:val="1"/>
      <w:numFmt w:val="decimal"/>
      <w:suff w:val="space"/>
      <w:lvlText w:val="%1."/>
      <w:lvlJc w:val="left"/>
    </w:lvl>
  </w:abstractNum>
  <w:abstractNum w:abstractNumId="7" w15:restartNumberingAfterBreak="0">
    <w:nsid w:val="F64028AF"/>
    <w:multiLevelType w:val="singleLevel"/>
    <w:tmpl w:val="F64028AF"/>
    <w:lvl w:ilvl="0">
      <w:start w:val="1"/>
      <w:numFmt w:val="decimal"/>
      <w:suff w:val="space"/>
      <w:lvlText w:val="%1."/>
      <w:lvlJc w:val="left"/>
    </w:lvl>
  </w:abstractNum>
  <w:abstractNum w:abstractNumId="8" w15:restartNumberingAfterBreak="0">
    <w:nsid w:val="225D34EF"/>
    <w:multiLevelType w:val="singleLevel"/>
    <w:tmpl w:val="225D34EF"/>
    <w:lvl w:ilvl="0">
      <w:start w:val="1"/>
      <w:numFmt w:val="bullet"/>
      <w:lvlText w:val=""/>
      <w:lvlJc w:val="left"/>
      <w:pPr>
        <w:tabs>
          <w:tab w:val="left" w:pos="420"/>
        </w:tabs>
        <w:ind w:left="840" w:hanging="420"/>
      </w:pPr>
      <w:rPr>
        <w:rFonts w:ascii="Wingdings" w:hAnsi="Wingdings" w:hint="default"/>
        <w:sz w:val="18"/>
        <w:szCs w:val="18"/>
      </w:rPr>
    </w:lvl>
  </w:abstractNum>
  <w:abstractNum w:abstractNumId="9" w15:restartNumberingAfterBreak="0">
    <w:nsid w:val="2B8E3F2E"/>
    <w:multiLevelType w:val="singleLevel"/>
    <w:tmpl w:val="2B8E3F2E"/>
    <w:lvl w:ilvl="0">
      <w:start w:val="1"/>
      <w:numFmt w:val="decimal"/>
      <w:suff w:val="space"/>
      <w:lvlText w:val="%1."/>
      <w:lvlJc w:val="left"/>
    </w:lvl>
  </w:abstractNum>
  <w:abstractNum w:abstractNumId="10" w15:restartNumberingAfterBreak="0">
    <w:nsid w:val="2FFFAEB5"/>
    <w:multiLevelType w:val="singleLevel"/>
    <w:tmpl w:val="2FFFAEB5"/>
    <w:lvl w:ilvl="0">
      <w:start w:val="1"/>
      <w:numFmt w:val="decimal"/>
      <w:suff w:val="space"/>
      <w:lvlText w:val="%1."/>
      <w:lvlJc w:val="left"/>
    </w:lvl>
  </w:abstractNum>
  <w:abstractNum w:abstractNumId="11" w15:restartNumberingAfterBreak="0">
    <w:nsid w:val="45CEB920"/>
    <w:multiLevelType w:val="singleLevel"/>
    <w:tmpl w:val="45CEB920"/>
    <w:lvl w:ilvl="0">
      <w:start w:val="2"/>
      <w:numFmt w:val="decimal"/>
      <w:suff w:val="space"/>
      <w:lvlText w:val="%1."/>
      <w:lvlJc w:val="left"/>
    </w:lvl>
  </w:abstractNum>
  <w:abstractNum w:abstractNumId="12" w15:restartNumberingAfterBreak="0">
    <w:nsid w:val="6A7F8DA8"/>
    <w:multiLevelType w:val="singleLevel"/>
    <w:tmpl w:val="6A7F8DA8"/>
    <w:lvl w:ilvl="0">
      <w:start w:val="1"/>
      <w:numFmt w:val="bullet"/>
      <w:lvlText w:val=""/>
      <w:lvlJc w:val="left"/>
      <w:pPr>
        <w:tabs>
          <w:tab w:val="left" w:pos="420"/>
        </w:tabs>
        <w:ind w:left="840" w:hanging="420"/>
      </w:pPr>
      <w:rPr>
        <w:rFonts w:ascii="Wingdings" w:hAnsi="Wingdings" w:hint="default"/>
        <w:sz w:val="18"/>
        <w:szCs w:val="18"/>
      </w:rPr>
    </w:lvl>
  </w:abstractNum>
  <w:abstractNum w:abstractNumId="13" w15:restartNumberingAfterBreak="0">
    <w:nsid w:val="7203F0B9"/>
    <w:multiLevelType w:val="singleLevel"/>
    <w:tmpl w:val="7203F0B9"/>
    <w:lvl w:ilvl="0">
      <w:start w:val="1"/>
      <w:numFmt w:val="bullet"/>
      <w:lvlText w:val=""/>
      <w:lvlJc w:val="left"/>
      <w:pPr>
        <w:tabs>
          <w:tab w:val="left" w:pos="420"/>
        </w:tabs>
        <w:ind w:left="840" w:hanging="420"/>
      </w:pPr>
      <w:rPr>
        <w:rFonts w:ascii="Wingdings" w:hAnsi="Wingdings" w:hint="default"/>
        <w:sz w:val="18"/>
        <w:szCs w:val="18"/>
      </w:rPr>
    </w:lvl>
  </w:abstractNum>
  <w:abstractNum w:abstractNumId="14" w15:restartNumberingAfterBreak="0">
    <w:nsid w:val="75FDBFE2"/>
    <w:multiLevelType w:val="singleLevel"/>
    <w:tmpl w:val="75FDBFE2"/>
    <w:lvl w:ilvl="0">
      <w:start w:val="1"/>
      <w:numFmt w:val="decimal"/>
      <w:suff w:val="space"/>
      <w:lvlText w:val="%1."/>
      <w:lvlJc w:val="left"/>
    </w:lvl>
  </w:abstractNum>
  <w:abstractNum w:abstractNumId="15" w15:restartNumberingAfterBreak="0">
    <w:nsid w:val="79C66496"/>
    <w:multiLevelType w:val="singleLevel"/>
    <w:tmpl w:val="79C66496"/>
    <w:lvl w:ilvl="0">
      <w:start w:val="1"/>
      <w:numFmt w:val="decimal"/>
      <w:suff w:val="space"/>
      <w:lvlText w:val="%1."/>
      <w:lvlJc w:val="left"/>
    </w:lvl>
  </w:abstractNum>
  <w:num w:numId="1" w16cid:durableId="1218782358">
    <w:abstractNumId w:val="7"/>
  </w:num>
  <w:num w:numId="2" w16cid:durableId="1495416563">
    <w:abstractNumId w:val="9"/>
  </w:num>
  <w:num w:numId="3" w16cid:durableId="1898739798">
    <w:abstractNumId w:val="2"/>
  </w:num>
  <w:num w:numId="4" w16cid:durableId="568884797">
    <w:abstractNumId w:val="0"/>
  </w:num>
  <w:num w:numId="5" w16cid:durableId="400981813">
    <w:abstractNumId w:val="3"/>
  </w:num>
  <w:num w:numId="6" w16cid:durableId="1177842096">
    <w:abstractNumId w:val="11"/>
  </w:num>
  <w:num w:numId="7" w16cid:durableId="899095408">
    <w:abstractNumId w:val="10"/>
  </w:num>
  <w:num w:numId="8" w16cid:durableId="1157767489">
    <w:abstractNumId w:val="5"/>
  </w:num>
  <w:num w:numId="9" w16cid:durableId="1185440920">
    <w:abstractNumId w:val="4"/>
  </w:num>
  <w:num w:numId="10" w16cid:durableId="1001665350">
    <w:abstractNumId w:val="13"/>
  </w:num>
  <w:num w:numId="11" w16cid:durableId="775834587">
    <w:abstractNumId w:val="12"/>
  </w:num>
  <w:num w:numId="12" w16cid:durableId="326441479">
    <w:abstractNumId w:val="1"/>
  </w:num>
  <w:num w:numId="13" w16cid:durableId="1525365806">
    <w:abstractNumId w:val="14"/>
  </w:num>
  <w:num w:numId="14" w16cid:durableId="937644345">
    <w:abstractNumId w:val="8"/>
  </w:num>
  <w:num w:numId="15" w16cid:durableId="759060658">
    <w:abstractNumId w:val="15"/>
  </w:num>
  <w:num w:numId="16" w16cid:durableId="1826510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D5D"/>
    <w:rsid w:val="00105F42"/>
    <w:rsid w:val="0014395B"/>
    <w:rsid w:val="002C3F50"/>
    <w:rsid w:val="0033661A"/>
    <w:rsid w:val="0044042B"/>
    <w:rsid w:val="00D80D5D"/>
    <w:rsid w:val="63CE2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5AB9A"/>
  <w15:docId w15:val="{20CECCEE-9AC7-476D-A736-AEE846F0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14395B"/>
    <w:pPr>
      <w:tabs>
        <w:tab w:val="center" w:pos="4153"/>
        <w:tab w:val="right" w:pos="8306"/>
      </w:tabs>
      <w:snapToGrid w:val="0"/>
      <w:jc w:val="center"/>
    </w:pPr>
    <w:rPr>
      <w:sz w:val="18"/>
      <w:szCs w:val="18"/>
    </w:rPr>
  </w:style>
  <w:style w:type="character" w:customStyle="1" w:styleId="a6">
    <w:name w:val="页眉 字符"/>
    <w:basedOn w:val="a0"/>
    <w:link w:val="a5"/>
    <w:rsid w:val="0014395B"/>
    <w:rPr>
      <w:rFonts w:asciiTheme="minorHAnsi" w:eastAsiaTheme="minorEastAsia" w:hAnsiTheme="minorHAnsi" w:cstheme="minorBidi"/>
      <w:kern w:val="2"/>
      <w:sz w:val="18"/>
      <w:szCs w:val="18"/>
    </w:rPr>
  </w:style>
  <w:style w:type="paragraph" w:styleId="a7">
    <w:name w:val="footer"/>
    <w:basedOn w:val="a"/>
    <w:link w:val="a8"/>
    <w:rsid w:val="0014395B"/>
    <w:pPr>
      <w:tabs>
        <w:tab w:val="center" w:pos="4153"/>
        <w:tab w:val="right" w:pos="8306"/>
      </w:tabs>
      <w:snapToGrid w:val="0"/>
      <w:jc w:val="left"/>
    </w:pPr>
    <w:rPr>
      <w:sz w:val="18"/>
      <w:szCs w:val="18"/>
    </w:rPr>
  </w:style>
  <w:style w:type="character" w:customStyle="1" w:styleId="a8">
    <w:name w:val="页脚 字符"/>
    <w:basedOn w:val="a0"/>
    <w:link w:val="a7"/>
    <w:rsid w:val="0014395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1140</Words>
  <Characters>7229</Characters>
  <Application>Microsoft Office Word</Application>
  <DocSecurity>0</DocSecurity>
  <Lines>141</Lines>
  <Paragraphs>83</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Louis Kwok</cp:lastModifiedBy>
  <cp:revision>4</cp:revision>
  <dcterms:created xsi:type="dcterms:W3CDTF">2026-06-03T07:35:00Z</dcterms:created>
  <dcterms:modified xsi:type="dcterms:W3CDTF">2026-06-03T13:22:00Z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eyJoZGlkIjoiN2FjYzFkMjhjMTA3YTgwZjc0MjZhNmYzMjk3NjNmZGQiLCJ1c2VySWQiOiIxNzk1MDEzMjUzIn0=</vt:lpwstr>
  </property>
  <property fmtid="{D5CDD505-2E9C-101B-9397-08002B2CF9AE}" pid="4" name="ICV">
    <vt:lpwstr>856E24DCF8E344EEA0355A5EB483F1D1_12</vt:lpwstr>
  </property>
</Properties>
</file>