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E61D" w14:textId="77777777" w:rsidR="003E7792" w:rsidRDefault="00000000" w:rsidP="00155752">
      <w:pPr>
        <w:spacing w:after="360"/>
        <w:jc w:val="center"/>
        <w:rPr>
          <w:rFonts w:ascii="Times New Roman" w:hAnsi="Times New Roman"/>
          <w:b/>
          <w:bCs/>
          <w:sz w:val="32"/>
          <w:szCs w:val="32"/>
        </w:rPr>
      </w:pPr>
      <w:r>
        <w:rPr>
          <w:rFonts w:ascii="Times New Roman" w:hAnsi="Times New Roman"/>
          <w:b/>
          <w:bCs/>
          <w:sz w:val="32"/>
          <w:szCs w:val="32"/>
        </w:rPr>
        <w:t>The ESS Innovator Award Charter</w:t>
      </w:r>
    </w:p>
    <w:p w14:paraId="6453CD1C" w14:textId="77777777" w:rsidR="003E7792" w:rsidRDefault="00000000">
      <w:pPr>
        <w:adjustRightInd w:val="0"/>
        <w:snapToGrid w:val="0"/>
        <w:spacing w:before="0" w:beforeAutospacing="0" w:after="0" w:line="360" w:lineRule="auto"/>
        <w:jc w:val="both"/>
        <w:rPr>
          <w:rFonts w:ascii="Times New Roman" w:eastAsiaTheme="minorEastAsia" w:hAnsi="Times New Roman"/>
          <w:b/>
          <w:bCs/>
          <w:sz w:val="24"/>
          <w:szCs w:val="24"/>
          <w14:ligatures w14:val="standardContextual"/>
        </w:rPr>
      </w:pPr>
      <w:r>
        <w:rPr>
          <w:rFonts w:ascii="Times New Roman" w:eastAsiaTheme="minorEastAsia" w:hAnsi="Times New Roman"/>
          <w:b/>
          <w:bCs/>
          <w:sz w:val="24"/>
          <w:szCs w:val="24"/>
          <w14:ligatures w14:val="standardContextual"/>
        </w:rPr>
        <w:t>Ⅰ</w:t>
      </w:r>
      <w:r>
        <w:rPr>
          <w:rFonts w:ascii="Times New Roman" w:eastAsiaTheme="minorEastAsia" w:hAnsi="Times New Roman" w:hint="eastAsia"/>
          <w:b/>
          <w:bCs/>
          <w:sz w:val="24"/>
          <w:szCs w:val="24"/>
          <w14:ligatures w14:val="standardContextual"/>
        </w:rPr>
        <w:t>. General Provisions</w:t>
      </w:r>
    </w:p>
    <w:p w14:paraId="7DF09E8F" w14:textId="7A6E29B4" w:rsidR="003E7792" w:rsidRDefault="00000000">
      <w:pPr>
        <w:numPr>
          <w:ilvl w:val="0"/>
          <w:numId w:val="1"/>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To encourage researchers and innovation teams that have achieved breakthroughs in the fields of original research and engineered applications, and to foster the integrated development of scientific discovery, technological innovation, and industrial application, the Engineered Science Society</w:t>
      </w:r>
      <w:r w:rsidR="00155752">
        <w:rPr>
          <w:rFonts w:ascii="Times New Roman" w:eastAsiaTheme="minorEastAsia" w:hAnsi="Times New Roman" w:hint="eastAsia"/>
          <w:sz w:val="24"/>
          <w:szCs w:val="24"/>
        </w:rPr>
        <w:t>, USA</w:t>
      </w:r>
      <w:r>
        <w:rPr>
          <w:rFonts w:ascii="Times New Roman" w:eastAsiaTheme="minorEastAsia" w:hAnsi="Times New Roman"/>
          <w:sz w:val="24"/>
          <w:szCs w:val="24"/>
        </w:rPr>
        <w:t xml:space="preserve"> (hereinafter referred to as the "ESS") hereby establishes the ESS Innovator Awards.</w:t>
      </w:r>
    </w:p>
    <w:p w14:paraId="12FFC9AA" w14:textId="77777777" w:rsidR="003E7792" w:rsidRDefault="00000000">
      <w:pPr>
        <w:numPr>
          <w:ilvl w:val="0"/>
          <w:numId w:val="1"/>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The ESS Innovator Awards constitute a premier academic and technological honors system established by the ESS, open to researchers and innovation teams worldwide. The objective is to recognize individuals or teams who have yielded substantial, breakthrough achievements in basic research, applied research, and engineering technology innovation.</w:t>
      </w:r>
    </w:p>
    <w:p w14:paraId="79E84004" w14:textId="77777777" w:rsidR="003E7792" w:rsidRDefault="00000000">
      <w:pPr>
        <w:numPr>
          <w:ilvl w:val="0"/>
          <w:numId w:val="1"/>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The ESS Innovator Awards steadfastly uphold the selection principles of being “innovation-driven, quality-first, fair and independent, and aligned with international standards”. Evaluations shall remain strictly uninfluenced by nationality, region, affiliated institution, or any other non-academic or non-technological factors, taking the value of the innovation and its practical contribution as the core evaluation criteria.</w:t>
      </w:r>
    </w:p>
    <w:p w14:paraId="5DECE1AC" w14:textId="77777777" w:rsidR="003E7792" w:rsidRDefault="00000000">
      <w:pPr>
        <w:numPr>
          <w:ilvl w:val="0"/>
          <w:numId w:val="1"/>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This</w:t>
      </w:r>
      <w:r>
        <w:rPr>
          <w:rFonts w:ascii="Times New Roman" w:eastAsiaTheme="minorEastAsia" w:hAnsi="Times New Roman"/>
          <w:sz w:val="24"/>
          <w:szCs w:val="24"/>
        </w:rPr>
        <w:t xml:space="preserve"> charter serves to govern the nomination, review, recognition, and management mechanisms of the ESS Innovator Awards, ensuring the scientific rigor, standardization, and credibility of the selection process.</w:t>
      </w:r>
    </w:p>
    <w:p w14:paraId="35487BD3" w14:textId="77777777" w:rsidR="003E7792" w:rsidRDefault="00000000" w:rsidP="00155752">
      <w:pPr>
        <w:adjustRightInd w:val="0"/>
        <w:snapToGrid w:val="0"/>
        <w:spacing w:beforeLines="100" w:before="312" w:beforeAutospacing="0" w:after="0" w:line="360" w:lineRule="auto"/>
        <w:jc w:val="both"/>
        <w:rPr>
          <w:rFonts w:ascii="Times New Roman" w:eastAsiaTheme="minorEastAsia" w:hAnsi="Times New Roman"/>
          <w:b/>
          <w:bCs/>
          <w:sz w:val="24"/>
          <w:szCs w:val="24"/>
          <w14:ligatures w14:val="standardContextual"/>
        </w:rPr>
      </w:pPr>
      <w:r>
        <w:rPr>
          <w:rFonts w:ascii="Times New Roman" w:eastAsiaTheme="minorEastAsia" w:hAnsi="Times New Roman"/>
          <w:b/>
          <w:bCs/>
          <w:sz w:val="24"/>
          <w:szCs w:val="24"/>
          <w14:ligatures w14:val="standardContextual"/>
        </w:rPr>
        <w:t>Ⅱ. Award Setting and Awarding Principles</w:t>
      </w:r>
    </w:p>
    <w:p w14:paraId="38C3155C" w14:textId="77777777" w:rsidR="003E7792" w:rsidRDefault="00000000">
      <w:pPr>
        <w:numPr>
          <w:ilvl w:val="0"/>
          <w:numId w:val="2"/>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The ESS Innovator Awards include the following three categories:</w:t>
      </w:r>
    </w:p>
    <w:p w14:paraId="2F173DBE" w14:textId="77777777" w:rsidR="003E7792" w:rsidRDefault="00000000">
      <w:pPr>
        <w:numPr>
          <w:ilvl w:val="2"/>
          <w:numId w:val="3"/>
        </w:numPr>
        <w:spacing w:before="0" w:beforeAutospacing="0" w:after="0" w:line="360" w:lineRule="auto"/>
        <w:ind w:leftChars="100" w:left="220"/>
        <w:jc w:val="both"/>
        <w:rPr>
          <w:rFonts w:ascii="Times New Roman" w:eastAsiaTheme="minorEastAsia" w:hAnsi="Times New Roman"/>
          <w:sz w:val="24"/>
          <w:szCs w:val="24"/>
        </w:rPr>
      </w:pPr>
      <w:r>
        <w:rPr>
          <w:rFonts w:ascii="Times New Roman" w:eastAsiaTheme="minorEastAsia" w:hAnsi="Times New Roman" w:hint="eastAsia"/>
          <w:sz w:val="24"/>
          <w:szCs w:val="24"/>
        </w:rPr>
        <w:t>Outstanding Innovator Award</w:t>
      </w:r>
    </w:p>
    <w:p w14:paraId="29A87B44" w14:textId="77777777" w:rsidR="003E7792" w:rsidRDefault="00000000">
      <w:pPr>
        <w:numPr>
          <w:ilvl w:val="1"/>
          <w:numId w:val="0"/>
        </w:numPr>
        <w:spacing w:before="0" w:beforeAutospacing="0" w:after="0" w:line="360" w:lineRule="auto"/>
        <w:ind w:leftChars="100" w:left="220"/>
        <w:jc w:val="both"/>
        <w:rPr>
          <w:rFonts w:ascii="Times New Roman" w:eastAsiaTheme="minorEastAsia" w:hAnsi="Times New Roman"/>
          <w:sz w:val="24"/>
          <w:szCs w:val="24"/>
        </w:rPr>
      </w:pPr>
      <w:r>
        <w:rPr>
          <w:rFonts w:ascii="Times New Roman" w:eastAsiaTheme="minorEastAsia" w:hAnsi="Times New Roman" w:hint="eastAsia"/>
          <w:sz w:val="24"/>
          <w:szCs w:val="24"/>
        </w:rPr>
        <w:t xml:space="preserve">Conferred upon individuals or teams that have achieved breakthroughs in original research or engineered applications. Such achievements shall demonstrate significant academic value or significance for technology translation and exert a substantial impact on the relevant fields. </w:t>
      </w:r>
    </w:p>
    <w:p w14:paraId="3F8D9FFE" w14:textId="77777777" w:rsidR="003E7792" w:rsidRDefault="00000000">
      <w:pPr>
        <w:numPr>
          <w:ilvl w:val="2"/>
          <w:numId w:val="3"/>
        </w:numPr>
        <w:spacing w:before="0" w:beforeAutospacing="0" w:after="0" w:line="360" w:lineRule="auto"/>
        <w:ind w:leftChars="100" w:left="220"/>
        <w:jc w:val="both"/>
        <w:rPr>
          <w:rFonts w:ascii="Times New Roman" w:eastAsiaTheme="minorEastAsia" w:hAnsi="Times New Roman"/>
          <w:sz w:val="24"/>
          <w:szCs w:val="24"/>
        </w:rPr>
      </w:pPr>
      <w:r>
        <w:rPr>
          <w:rFonts w:ascii="Times New Roman" w:eastAsiaTheme="minorEastAsia" w:hAnsi="Times New Roman" w:hint="eastAsia"/>
          <w:sz w:val="24"/>
          <w:szCs w:val="24"/>
        </w:rPr>
        <w:t>Young Innovator Award</w:t>
      </w:r>
    </w:p>
    <w:p w14:paraId="373FA745" w14:textId="3E7FDB5D" w:rsidR="003E7792" w:rsidRDefault="00000000">
      <w:pPr>
        <w:numPr>
          <w:ilvl w:val="1"/>
          <w:numId w:val="0"/>
        </w:numPr>
        <w:spacing w:before="0" w:beforeAutospacing="0" w:after="0" w:line="360" w:lineRule="auto"/>
        <w:ind w:leftChars="100" w:left="220"/>
        <w:jc w:val="both"/>
        <w:rPr>
          <w:rFonts w:ascii="Times New Roman" w:eastAsiaTheme="minorEastAsia" w:hAnsi="Times New Roman"/>
          <w:sz w:val="24"/>
          <w:szCs w:val="24"/>
        </w:rPr>
      </w:pPr>
      <w:r>
        <w:rPr>
          <w:rFonts w:ascii="Times New Roman" w:eastAsiaTheme="minorEastAsia" w:hAnsi="Times New Roman" w:hint="eastAsia"/>
          <w:sz w:val="24"/>
          <w:szCs w:val="24"/>
        </w:rPr>
        <w:lastRenderedPageBreak/>
        <w:t xml:space="preserve">Conferred upon young researchers or young team leaders who are </w:t>
      </w:r>
      <w:r w:rsidR="00155752">
        <w:rPr>
          <w:rFonts w:ascii="Times New Roman" w:eastAsiaTheme="minorEastAsia" w:hAnsi="Times New Roman" w:hint="eastAsia"/>
          <w:sz w:val="24"/>
          <w:szCs w:val="24"/>
        </w:rPr>
        <w:t>4</w:t>
      </w:r>
      <w:r>
        <w:rPr>
          <w:rFonts w:ascii="Times New Roman" w:eastAsiaTheme="minorEastAsia" w:hAnsi="Times New Roman" w:hint="eastAsia"/>
          <w:sz w:val="24"/>
          <w:szCs w:val="24"/>
        </w:rPr>
        <w:t>5 years of age or younger. This award primarily recognizes the outstanding potential and representative achievements they have demonstrated in innovative concepts, methodologies, or technological pathways.</w:t>
      </w:r>
    </w:p>
    <w:p w14:paraId="2000CD4C" w14:textId="77777777" w:rsidR="003E7792" w:rsidRDefault="00000000">
      <w:pPr>
        <w:numPr>
          <w:ilvl w:val="2"/>
          <w:numId w:val="3"/>
        </w:numPr>
        <w:spacing w:before="0" w:beforeAutospacing="0" w:after="0" w:line="360" w:lineRule="auto"/>
        <w:ind w:leftChars="100" w:left="220"/>
        <w:jc w:val="both"/>
        <w:rPr>
          <w:rFonts w:ascii="Times New Roman" w:eastAsiaTheme="minorEastAsia" w:hAnsi="Times New Roman"/>
          <w:sz w:val="24"/>
          <w:szCs w:val="24"/>
        </w:rPr>
      </w:pPr>
      <w:r>
        <w:rPr>
          <w:rFonts w:ascii="Times New Roman" w:eastAsiaTheme="minorEastAsia" w:hAnsi="Times New Roman" w:hint="eastAsia"/>
          <w:sz w:val="24"/>
          <w:szCs w:val="24"/>
        </w:rPr>
        <w:t>Emerging Innovator Award</w:t>
      </w:r>
    </w:p>
    <w:p w14:paraId="59D09E2C" w14:textId="42E6B5FD" w:rsidR="003E7792" w:rsidRDefault="00942615">
      <w:pPr>
        <w:numPr>
          <w:ilvl w:val="1"/>
          <w:numId w:val="0"/>
        </w:numPr>
        <w:spacing w:before="0" w:beforeAutospacing="0" w:after="0" w:line="360" w:lineRule="auto"/>
        <w:ind w:leftChars="100" w:left="220"/>
        <w:jc w:val="both"/>
        <w:rPr>
          <w:rFonts w:ascii="Times New Roman" w:eastAsiaTheme="minorEastAsia" w:hAnsi="Times New Roman"/>
          <w:sz w:val="24"/>
          <w:szCs w:val="24"/>
        </w:rPr>
      </w:pPr>
      <w:r w:rsidRPr="00942615">
        <w:rPr>
          <w:rFonts w:ascii="Times New Roman" w:eastAsiaTheme="minorEastAsia" w:hAnsi="Times New Roman"/>
          <w:sz w:val="24"/>
          <w:szCs w:val="24"/>
        </w:rPr>
        <w:t>Awarded to researchers aged 3</w:t>
      </w:r>
      <w:r w:rsidR="00DF537B">
        <w:rPr>
          <w:rFonts w:ascii="Times New Roman" w:eastAsiaTheme="minorEastAsia" w:hAnsi="Times New Roman" w:hint="eastAsia"/>
          <w:sz w:val="24"/>
          <w:szCs w:val="24"/>
        </w:rPr>
        <w:t>8</w:t>
      </w:r>
      <w:r w:rsidRPr="00942615">
        <w:rPr>
          <w:rFonts w:ascii="Times New Roman" w:eastAsiaTheme="minorEastAsia" w:hAnsi="Times New Roman"/>
          <w:sz w:val="24"/>
          <w:szCs w:val="24"/>
        </w:rPr>
        <w:t xml:space="preserve"> or below, or within 10 years of obtaining their doctoral degree, who have demonstrated strong early-stage potential in scientific research or engineering innovation, with the aim of encouraging early-career innovative breakthroughs</w:t>
      </w:r>
      <w:r w:rsidR="00000000">
        <w:rPr>
          <w:rFonts w:ascii="Times New Roman" w:eastAsiaTheme="minorEastAsia" w:hAnsi="Times New Roman" w:hint="eastAsia"/>
          <w:sz w:val="24"/>
          <w:szCs w:val="24"/>
        </w:rPr>
        <w:t>.</w:t>
      </w:r>
    </w:p>
    <w:p w14:paraId="3350D55A" w14:textId="77777777" w:rsidR="003E7792" w:rsidRDefault="00000000">
      <w:pPr>
        <w:numPr>
          <w:ilvl w:val="0"/>
          <w:numId w:val="2"/>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The selection for the ESS Innovator Awards shall be conducted annually. The number of awards allocated to each category may be appropriately adjusted in accordance with the development of the relevant disciplines and the status of applications.</w:t>
      </w:r>
    </w:p>
    <w:p w14:paraId="3F15AF98" w14:textId="77777777" w:rsidR="003E7792" w:rsidRDefault="00000000">
      <w:pPr>
        <w:numPr>
          <w:ilvl w:val="0"/>
          <w:numId w:val="2"/>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The ESS Innovator Awards may be conferred upon either individuals or research teams that have made critical contributions to a single innovative achievement.</w:t>
      </w:r>
    </w:p>
    <w:p w14:paraId="3DFE2226" w14:textId="77777777" w:rsidR="003E7792" w:rsidRDefault="00000000">
      <w:pPr>
        <w:numPr>
          <w:ilvl w:val="0"/>
          <w:numId w:val="2"/>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In exceptional circumstances, subject to review and approval by at least a two-thirds majority vote of the Academic Committee for Engineered Science Honorary Awards, a specific award may be conferred jointly or left vacant.</w:t>
      </w:r>
    </w:p>
    <w:p w14:paraId="5D4EA3C8" w14:textId="77777777" w:rsidR="003E7792" w:rsidRDefault="00000000" w:rsidP="00155752">
      <w:pPr>
        <w:adjustRightInd w:val="0"/>
        <w:snapToGrid w:val="0"/>
        <w:spacing w:beforeLines="100" w:before="312" w:beforeAutospacing="0" w:after="0" w:line="360" w:lineRule="auto"/>
        <w:jc w:val="both"/>
        <w:rPr>
          <w:rFonts w:ascii="Times New Roman" w:eastAsiaTheme="minorEastAsia" w:hAnsi="Times New Roman"/>
          <w:b/>
          <w:bCs/>
          <w:sz w:val="24"/>
          <w:szCs w:val="24"/>
          <w14:ligatures w14:val="standardContextual"/>
        </w:rPr>
      </w:pPr>
      <w:r>
        <w:rPr>
          <w:rFonts w:ascii="Times New Roman" w:eastAsiaTheme="minorEastAsia" w:hAnsi="Times New Roman"/>
          <w:b/>
          <w:bCs/>
          <w:sz w:val="24"/>
          <w:szCs w:val="24"/>
          <w14:ligatures w14:val="standardContextual"/>
        </w:rPr>
        <w:t>Ⅲ.</w:t>
      </w:r>
      <w:r>
        <w:rPr>
          <w:rFonts w:ascii="Times New Roman" w:eastAsiaTheme="minorEastAsia" w:hAnsi="Times New Roman" w:hint="eastAsia"/>
          <w:b/>
          <w:bCs/>
          <w:sz w:val="24"/>
          <w:szCs w:val="24"/>
          <w14:ligatures w14:val="standardContextual"/>
        </w:rPr>
        <w:t xml:space="preserve"> </w:t>
      </w:r>
      <w:r>
        <w:rPr>
          <w:rFonts w:ascii="Times New Roman" w:eastAsiaTheme="minorEastAsia" w:hAnsi="Times New Roman"/>
          <w:b/>
          <w:bCs/>
          <w:sz w:val="24"/>
          <w:szCs w:val="24"/>
          <w14:ligatures w14:val="standardContextual"/>
        </w:rPr>
        <w:t>Candidate Qualification</w:t>
      </w:r>
    </w:p>
    <w:p w14:paraId="2CEE176F" w14:textId="77777777" w:rsidR="003E7792" w:rsidRDefault="00000000">
      <w:pPr>
        <w:numPr>
          <w:ilvl w:val="0"/>
          <w:numId w:val="4"/>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Candidates or candidate teams shall meet the following basic requirements:</w:t>
      </w:r>
    </w:p>
    <w:p w14:paraId="4505C6C1" w14:textId="77777777" w:rsidR="003E7792" w:rsidRDefault="00000000">
      <w:pPr>
        <w:numPr>
          <w:ilvl w:val="0"/>
          <w:numId w:val="5"/>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Achieve verifiable original or applied results in the relevant field;</w:t>
      </w:r>
    </w:p>
    <w:p w14:paraId="09A6B441" w14:textId="77777777" w:rsidR="003E7792" w:rsidRDefault="00000000">
      <w:pPr>
        <w:numPr>
          <w:ilvl w:val="0"/>
          <w:numId w:val="5"/>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The research achievements have a certain international or industry influence;</w:t>
      </w:r>
    </w:p>
    <w:p w14:paraId="5B5DE8CB" w14:textId="77777777" w:rsidR="003E7792" w:rsidRDefault="00000000">
      <w:pPr>
        <w:numPr>
          <w:ilvl w:val="0"/>
          <w:numId w:val="5"/>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Strictly adhere to research ethics and the standards of academic integrity;</w:t>
      </w:r>
    </w:p>
    <w:p w14:paraId="3CB8A304" w14:textId="77777777" w:rsidR="003E7792" w:rsidRDefault="00000000">
      <w:pPr>
        <w:numPr>
          <w:ilvl w:val="0"/>
          <w:numId w:val="5"/>
        </w:numPr>
        <w:spacing w:before="0" w:beforeAutospacing="0" w:after="0" w:line="360" w:lineRule="auto"/>
        <w:jc w:val="both"/>
        <w:rPr>
          <w:rFonts w:ascii="Times New Roman" w:eastAsiaTheme="minorEastAsia" w:hAnsi="Times New Roman"/>
          <w:sz w:val="24"/>
          <w:szCs w:val="24"/>
        </w:rPr>
      </w:pPr>
      <w:r>
        <w:rPr>
          <w:rFonts w:ascii="Times New Roman" w:eastAsiaTheme="minorEastAsia" w:hAnsi="Times New Roman" w:hint="eastAsia"/>
          <w:sz w:val="24"/>
          <w:szCs w:val="24"/>
        </w:rPr>
        <w:t>The young innovator award must meet the corresponding age limit.</w:t>
      </w:r>
    </w:p>
    <w:p w14:paraId="1252A02E" w14:textId="77777777" w:rsidR="003E7792" w:rsidRDefault="00000000">
      <w:pPr>
        <w:numPr>
          <w:ilvl w:val="0"/>
          <w:numId w:val="4"/>
        </w:numPr>
        <w:spacing w:before="0" w:beforeAutospacing="0" w:after="0" w:line="360" w:lineRule="auto"/>
        <w:jc w:val="both"/>
        <w:rPr>
          <w:rFonts w:ascii="Times New Roman" w:eastAsiaTheme="minorEastAsia" w:hAnsi="Times New Roman"/>
          <w:sz w:val="24"/>
          <w:szCs w:val="24"/>
        </w:rPr>
      </w:pPr>
      <w:r>
        <w:rPr>
          <w:rFonts w:ascii="Times New Roman" w:hAnsi="Times New Roman"/>
          <w:sz w:val="24"/>
          <w:szCs w:val="24"/>
        </w:rPr>
        <w:t>A candidate may not be nominated simultaneously for multiple categories within the</w:t>
      </w:r>
      <w:r>
        <w:rPr>
          <w:rFonts w:ascii="Times New Roman" w:hAnsi="Times New Roman" w:hint="eastAsia"/>
          <w:sz w:val="24"/>
          <w:szCs w:val="24"/>
        </w:rPr>
        <w:t xml:space="preserve"> Innovator</w:t>
      </w:r>
      <w:r>
        <w:rPr>
          <w:rFonts w:ascii="Times New Roman" w:hAnsi="Times New Roman"/>
          <w:sz w:val="24"/>
          <w:szCs w:val="24"/>
        </w:rPr>
        <w:t xml:space="preserve"> Award Series during the same award cycle</w:t>
      </w:r>
      <w:r>
        <w:rPr>
          <w:rFonts w:ascii="Times New Roman" w:eastAsiaTheme="minorEastAsia" w:hAnsi="Times New Roman" w:hint="eastAsia"/>
          <w:sz w:val="24"/>
          <w:szCs w:val="24"/>
        </w:rPr>
        <w:t>.</w:t>
      </w:r>
    </w:p>
    <w:p w14:paraId="1E48C986" w14:textId="77777777" w:rsidR="003E7792" w:rsidRDefault="00000000">
      <w:pPr>
        <w:pStyle w:val="ListParagraph1"/>
        <w:adjustRightInd w:val="0"/>
        <w:snapToGrid w:val="0"/>
        <w:spacing w:after="0" w:line="360" w:lineRule="auto"/>
        <w:ind w:left="0"/>
        <w:jc w:val="both"/>
        <w:rPr>
          <w:rFonts w:ascii="Times New Roman" w:eastAsiaTheme="minorEastAsia" w:hAnsi="Times New Roman"/>
          <w:b/>
          <w:bCs/>
          <w:sz w:val="24"/>
          <w:szCs w:val="24"/>
          <w14:ligatures w14:val="standardContextual"/>
        </w:rPr>
      </w:pPr>
      <w:r>
        <w:rPr>
          <w:rFonts w:ascii="Times New Roman" w:eastAsiaTheme="minorEastAsia" w:hAnsi="Times New Roman"/>
          <w:b/>
          <w:bCs/>
          <w:sz w:val="24"/>
          <w:szCs w:val="24"/>
          <w14:ligatures w14:val="standardContextual"/>
        </w:rPr>
        <w:t>Ⅳ.</w:t>
      </w:r>
      <w:r>
        <w:rPr>
          <w:rFonts w:ascii="Times New Roman" w:eastAsiaTheme="minorEastAsia" w:hAnsi="Times New Roman" w:hint="eastAsia"/>
          <w:b/>
          <w:bCs/>
          <w:sz w:val="24"/>
          <w:szCs w:val="24"/>
          <w14:ligatures w14:val="standardContextual"/>
        </w:rPr>
        <w:t xml:space="preserve"> Nomination </w:t>
      </w:r>
      <w:r>
        <w:rPr>
          <w:rFonts w:ascii="Times New Roman" w:eastAsiaTheme="minorEastAsia" w:hAnsi="Times New Roman"/>
          <w:b/>
          <w:bCs/>
          <w:sz w:val="24"/>
          <w:szCs w:val="24"/>
          <w14:ligatures w14:val="standardContextual"/>
        </w:rPr>
        <w:t>System</w:t>
      </w:r>
    </w:p>
    <w:p w14:paraId="6967DBB0" w14:textId="77777777" w:rsidR="003E7792" w:rsidRDefault="00000000">
      <w:pPr>
        <w:pStyle w:val="ListParagraph1"/>
        <w:numPr>
          <w:ilvl w:val="0"/>
          <w:numId w:val="6"/>
        </w:numPr>
        <w:adjustRightInd w:val="0"/>
        <w:snapToGrid w:val="0"/>
        <w:spacing w:after="0" w:line="360" w:lineRule="auto"/>
        <w:jc w:val="both"/>
        <w:rPr>
          <w:rFonts w:ascii="Times New Roman" w:hAnsi="Times New Roman"/>
          <w:sz w:val="24"/>
          <w:szCs w:val="24"/>
        </w:rPr>
      </w:pPr>
      <w:r>
        <w:rPr>
          <w:rFonts w:ascii="Times New Roman" w:hAnsi="Times New Roman"/>
          <w:sz w:val="24"/>
          <w:szCs w:val="24"/>
        </w:rPr>
        <w:t>The ESS Innovator Awards adopt a combined mechanism of nomination and direct application. Recommendations submitted through non-standard channels shall not be accepted.</w:t>
      </w:r>
    </w:p>
    <w:p w14:paraId="5063F01D" w14:textId="77777777" w:rsidR="003E7792" w:rsidRDefault="00000000">
      <w:pPr>
        <w:pStyle w:val="ListParagraph1"/>
        <w:numPr>
          <w:ilvl w:val="0"/>
          <w:numId w:val="6"/>
        </w:numPr>
        <w:adjustRightInd w:val="0"/>
        <w:snapToGrid w:val="0"/>
        <w:spacing w:after="0" w:line="360" w:lineRule="auto"/>
        <w:jc w:val="both"/>
        <w:rPr>
          <w:rFonts w:ascii="Times New Roman" w:hAnsi="Times New Roman"/>
          <w:sz w:val="24"/>
          <w:szCs w:val="24"/>
        </w:rPr>
      </w:pPr>
      <w:r>
        <w:rPr>
          <w:rFonts w:ascii="Times New Roman" w:hAnsi="Times New Roman"/>
          <w:sz w:val="24"/>
          <w:szCs w:val="24"/>
        </w:rPr>
        <w:lastRenderedPageBreak/>
        <w:t>Nominators or recommenders shall fall into one of the following categories:</w:t>
      </w:r>
    </w:p>
    <w:p w14:paraId="24FF6812" w14:textId="77777777" w:rsidR="003E7792" w:rsidRDefault="00000000">
      <w:pPr>
        <w:pStyle w:val="ListParagraph1"/>
        <w:numPr>
          <w:ilvl w:val="0"/>
          <w:numId w:val="7"/>
        </w:numPr>
        <w:adjustRightInd w:val="0"/>
        <w:snapToGrid w:val="0"/>
        <w:spacing w:after="0" w:line="360" w:lineRule="auto"/>
        <w:jc w:val="both"/>
        <w:rPr>
          <w:rFonts w:ascii="Times New Roman" w:hAnsi="Times New Roman"/>
          <w:sz w:val="24"/>
          <w:szCs w:val="24"/>
        </w:rPr>
      </w:pPr>
      <w:r>
        <w:rPr>
          <w:rFonts w:ascii="Times New Roman" w:hAnsi="Times New Roman"/>
          <w:sz w:val="24"/>
          <w:szCs w:val="24"/>
        </w:rPr>
        <w:t>Scientists or engineering experts with international influence in the relevant fields;</w:t>
      </w:r>
    </w:p>
    <w:p w14:paraId="754844B7" w14:textId="77777777" w:rsidR="003E7792" w:rsidRDefault="00000000">
      <w:pPr>
        <w:pStyle w:val="ListParagraph1"/>
        <w:numPr>
          <w:ilvl w:val="0"/>
          <w:numId w:val="7"/>
        </w:numPr>
        <w:adjustRightInd w:val="0"/>
        <w:snapToGrid w:val="0"/>
        <w:spacing w:after="0" w:line="360" w:lineRule="auto"/>
        <w:jc w:val="both"/>
        <w:rPr>
          <w:rFonts w:ascii="Times New Roman" w:hAnsi="Times New Roman"/>
          <w:sz w:val="24"/>
          <w:szCs w:val="24"/>
        </w:rPr>
      </w:pPr>
      <w:r>
        <w:rPr>
          <w:rFonts w:ascii="Times New Roman" w:hAnsi="Times New Roman"/>
          <w:sz w:val="24"/>
          <w:szCs w:val="24"/>
        </w:rPr>
        <w:t>ESS fellows or recipients of related ESS academic honors;</w:t>
      </w:r>
    </w:p>
    <w:p w14:paraId="708119F0" w14:textId="77777777" w:rsidR="003E7792" w:rsidRDefault="00000000">
      <w:pPr>
        <w:pStyle w:val="ListParagraph1"/>
        <w:numPr>
          <w:ilvl w:val="0"/>
          <w:numId w:val="7"/>
        </w:numPr>
        <w:adjustRightInd w:val="0"/>
        <w:snapToGrid w:val="0"/>
        <w:spacing w:after="0" w:line="360" w:lineRule="auto"/>
        <w:jc w:val="both"/>
        <w:rPr>
          <w:rFonts w:ascii="Times New Roman" w:hAnsi="Times New Roman"/>
          <w:sz w:val="24"/>
          <w:szCs w:val="24"/>
        </w:rPr>
      </w:pPr>
      <w:r>
        <w:rPr>
          <w:rFonts w:ascii="Times New Roman" w:hAnsi="Times New Roman"/>
          <w:sz w:val="24"/>
          <w:szCs w:val="24"/>
        </w:rPr>
        <w:t>Official academic heads of research institutions, laboratories, or universities.</w:t>
      </w:r>
    </w:p>
    <w:p w14:paraId="23CCF6F6" w14:textId="77777777" w:rsidR="003E7792" w:rsidRDefault="00000000">
      <w:pPr>
        <w:pStyle w:val="ListParagraph1"/>
        <w:numPr>
          <w:ilvl w:val="0"/>
          <w:numId w:val="6"/>
        </w:numPr>
        <w:adjustRightInd w:val="0"/>
        <w:snapToGrid w:val="0"/>
        <w:spacing w:after="0" w:line="360" w:lineRule="auto"/>
        <w:jc w:val="both"/>
        <w:rPr>
          <w:rFonts w:ascii="Times New Roman" w:hAnsi="Times New Roman"/>
          <w:sz w:val="24"/>
          <w:szCs w:val="24"/>
        </w:rPr>
      </w:pPr>
      <w:r>
        <w:rPr>
          <w:rFonts w:ascii="Times New Roman" w:hAnsi="Times New Roman"/>
          <w:sz w:val="24"/>
          <w:szCs w:val="24"/>
        </w:rPr>
        <w:t>Application materials shall include the following:</w:t>
      </w:r>
    </w:p>
    <w:p w14:paraId="092B0F11" w14:textId="77777777" w:rsidR="003E7792" w:rsidRDefault="00000000">
      <w:pPr>
        <w:pStyle w:val="ListParagraph1"/>
        <w:numPr>
          <w:ilvl w:val="0"/>
          <w:numId w:val="8"/>
        </w:numPr>
        <w:adjustRightInd w:val="0"/>
        <w:snapToGrid w:val="0"/>
        <w:spacing w:after="0" w:line="360" w:lineRule="auto"/>
        <w:jc w:val="both"/>
        <w:rPr>
          <w:rFonts w:ascii="Times New Roman" w:hAnsi="Times New Roman"/>
          <w:sz w:val="24"/>
          <w:szCs w:val="24"/>
        </w:rPr>
      </w:pPr>
      <w:r>
        <w:rPr>
          <w:rFonts w:ascii="Times New Roman" w:hAnsi="Times New Roman" w:hint="eastAsia"/>
          <w:sz w:val="24"/>
          <w:szCs w:val="24"/>
        </w:rPr>
        <w:t>B</w:t>
      </w:r>
      <w:r>
        <w:rPr>
          <w:rFonts w:ascii="Times New Roman" w:hAnsi="Times New Roman"/>
          <w:sz w:val="24"/>
          <w:szCs w:val="24"/>
        </w:rPr>
        <w:t>asic information of the applicant or team;</w:t>
      </w:r>
    </w:p>
    <w:p w14:paraId="53EDAE88" w14:textId="77777777" w:rsidR="003E7792" w:rsidRDefault="00000000">
      <w:pPr>
        <w:pStyle w:val="ListParagraph1"/>
        <w:numPr>
          <w:ilvl w:val="0"/>
          <w:numId w:val="8"/>
        </w:numPr>
        <w:adjustRightInd w:val="0"/>
        <w:snapToGrid w:val="0"/>
        <w:spacing w:after="0" w:line="360" w:lineRule="auto"/>
        <w:jc w:val="both"/>
        <w:rPr>
          <w:rFonts w:ascii="Times New Roman" w:hAnsi="Times New Roman"/>
          <w:sz w:val="24"/>
          <w:szCs w:val="24"/>
        </w:rPr>
      </w:pPr>
      <w:r>
        <w:rPr>
          <w:rFonts w:ascii="Times New Roman" w:hAnsi="Times New Roman" w:hint="eastAsia"/>
          <w:sz w:val="24"/>
          <w:szCs w:val="24"/>
        </w:rPr>
        <w:t>D</w:t>
      </w:r>
      <w:r>
        <w:rPr>
          <w:rFonts w:ascii="Times New Roman" w:hAnsi="Times New Roman"/>
          <w:sz w:val="24"/>
          <w:szCs w:val="24"/>
        </w:rPr>
        <w:t>escription of representative innovative achievements;</w:t>
      </w:r>
    </w:p>
    <w:p w14:paraId="604D6973" w14:textId="77777777" w:rsidR="003E7792" w:rsidRDefault="00000000">
      <w:pPr>
        <w:pStyle w:val="ListParagraph1"/>
        <w:numPr>
          <w:ilvl w:val="0"/>
          <w:numId w:val="8"/>
        </w:numPr>
        <w:adjustRightInd w:val="0"/>
        <w:snapToGrid w:val="0"/>
        <w:spacing w:after="0" w:line="360" w:lineRule="auto"/>
        <w:jc w:val="both"/>
        <w:rPr>
          <w:rFonts w:ascii="Times New Roman" w:hAnsi="Times New Roman"/>
          <w:sz w:val="24"/>
          <w:szCs w:val="24"/>
        </w:rPr>
      </w:pPr>
      <w:r>
        <w:rPr>
          <w:rFonts w:ascii="Times New Roman" w:hAnsi="Times New Roman"/>
          <w:sz w:val="24"/>
          <w:szCs w:val="24"/>
        </w:rPr>
        <w:t>Evidentiary materials substantiating technological or scientific contributions;</w:t>
      </w:r>
    </w:p>
    <w:p w14:paraId="14D35D03" w14:textId="77777777" w:rsidR="003E7792" w:rsidRDefault="00000000">
      <w:pPr>
        <w:pStyle w:val="ListParagraph1"/>
        <w:numPr>
          <w:ilvl w:val="0"/>
          <w:numId w:val="8"/>
        </w:numPr>
        <w:adjustRightInd w:val="0"/>
        <w:snapToGrid w:val="0"/>
        <w:spacing w:after="0" w:line="360" w:lineRule="auto"/>
        <w:jc w:val="both"/>
        <w:rPr>
          <w:rFonts w:ascii="Times New Roman" w:hAnsi="Times New Roman"/>
          <w:sz w:val="24"/>
          <w:szCs w:val="24"/>
        </w:rPr>
      </w:pPr>
      <w:r>
        <w:rPr>
          <w:rFonts w:ascii="Times New Roman" w:hAnsi="Times New Roman"/>
          <w:sz w:val="24"/>
          <w:szCs w:val="24"/>
        </w:rPr>
        <w:t>A statement detailing the practical application or impact;</w:t>
      </w:r>
    </w:p>
    <w:p w14:paraId="0BA3F5B7" w14:textId="77777777" w:rsidR="003E7792" w:rsidRDefault="00000000">
      <w:pPr>
        <w:pStyle w:val="ListParagraph1"/>
        <w:numPr>
          <w:ilvl w:val="0"/>
          <w:numId w:val="8"/>
        </w:numPr>
        <w:adjustRightInd w:val="0"/>
        <w:snapToGrid w:val="0"/>
        <w:spacing w:after="0" w:line="360" w:lineRule="auto"/>
        <w:jc w:val="both"/>
        <w:rPr>
          <w:rFonts w:ascii="Times New Roman" w:hAnsi="Times New Roman"/>
          <w:sz w:val="24"/>
          <w:szCs w:val="24"/>
        </w:rPr>
      </w:pPr>
      <w:r>
        <w:rPr>
          <w:rFonts w:ascii="Times New Roman" w:hAnsi="Times New Roman"/>
          <w:sz w:val="24"/>
          <w:szCs w:val="24"/>
        </w:rPr>
        <w:t>Any other necessary supporting materials.</w:t>
      </w:r>
    </w:p>
    <w:p w14:paraId="66269DC1" w14:textId="77777777" w:rsidR="003E7792" w:rsidRDefault="00000000" w:rsidP="00155752">
      <w:pPr>
        <w:adjustRightInd w:val="0"/>
        <w:snapToGrid w:val="0"/>
        <w:spacing w:beforeLines="100" w:before="312" w:beforeAutospacing="0" w:after="0" w:line="360" w:lineRule="auto"/>
        <w:jc w:val="both"/>
        <w:rPr>
          <w:rFonts w:ascii="Times New Roman" w:eastAsiaTheme="minorEastAsia" w:hAnsi="Times New Roman"/>
          <w:b/>
          <w:bCs/>
          <w:sz w:val="24"/>
          <w:szCs w:val="24"/>
          <w14:ligatures w14:val="standardContextual"/>
        </w:rPr>
      </w:pPr>
      <w:r>
        <w:rPr>
          <w:rFonts w:ascii="Times New Roman" w:eastAsiaTheme="minorEastAsia" w:hAnsi="Times New Roman"/>
          <w:b/>
          <w:bCs/>
          <w:sz w:val="24"/>
          <w:szCs w:val="24"/>
          <w14:ligatures w14:val="standardContextual"/>
        </w:rPr>
        <w:t>Ⅴ. Review Organization and Procedures</w:t>
      </w:r>
    </w:p>
    <w:p w14:paraId="727EE20E" w14:textId="77777777" w:rsidR="003E7792" w:rsidRDefault="00000000">
      <w:pPr>
        <w:numPr>
          <w:ilvl w:val="0"/>
          <w:numId w:val="9"/>
        </w:numPr>
        <w:spacing w:before="0" w:beforeAutospacing="0" w:after="0" w:line="360" w:lineRule="auto"/>
        <w:jc w:val="both"/>
        <w:rPr>
          <w:rFonts w:ascii="Times New Roman" w:hAnsi="Times New Roman"/>
          <w:sz w:val="24"/>
          <w:szCs w:val="24"/>
        </w:rPr>
      </w:pPr>
      <w:r>
        <w:rPr>
          <w:rFonts w:ascii="Times New Roman" w:hAnsi="Times New Roman"/>
          <w:sz w:val="24"/>
          <w:szCs w:val="24"/>
        </w:rPr>
        <w:t>The evaluation framework for the ESS Innovator Awards is composed of the following organizations:</w:t>
      </w:r>
    </w:p>
    <w:p w14:paraId="08B33757" w14:textId="77777777" w:rsidR="003E7792" w:rsidRDefault="00000000">
      <w:pPr>
        <w:pStyle w:val="ListParagraph1"/>
        <w:numPr>
          <w:ilvl w:val="0"/>
          <w:numId w:val="10"/>
        </w:numPr>
        <w:adjustRightInd w:val="0"/>
        <w:snapToGrid w:val="0"/>
        <w:spacing w:before="0" w:beforeAutospacing="0" w:after="0" w:line="360" w:lineRule="auto"/>
        <w:ind w:left="782"/>
        <w:jc w:val="both"/>
        <w:rPr>
          <w:rFonts w:ascii="Times New Roman" w:eastAsiaTheme="minorEastAsia" w:hAnsi="Times New Roman"/>
          <w:sz w:val="24"/>
          <w:szCs w:val="24"/>
        </w:rPr>
      </w:pPr>
      <w:r>
        <w:rPr>
          <w:rFonts w:ascii="Times New Roman" w:eastAsiaTheme="minorEastAsia" w:hAnsi="Times New Roman"/>
          <w:sz w:val="24"/>
          <w:szCs w:val="24"/>
        </w:rPr>
        <w:t>The ESS Innovator Awards Evaluation Office, responsible for eligibility screening, dossier compilation, and the organization of the evaluation process;</w:t>
      </w:r>
    </w:p>
    <w:p w14:paraId="5E5EA8A5" w14:textId="77777777" w:rsidR="003E7792" w:rsidRDefault="00000000">
      <w:pPr>
        <w:pStyle w:val="ListParagraph1"/>
        <w:numPr>
          <w:ilvl w:val="0"/>
          <w:numId w:val="10"/>
        </w:numPr>
        <w:adjustRightInd w:val="0"/>
        <w:snapToGrid w:val="0"/>
        <w:spacing w:before="0" w:beforeAutospacing="0" w:after="0" w:line="360" w:lineRule="auto"/>
        <w:ind w:left="782"/>
        <w:jc w:val="both"/>
        <w:rPr>
          <w:rFonts w:ascii="Times New Roman" w:eastAsiaTheme="minorEastAsia" w:hAnsi="Times New Roman"/>
          <w:sz w:val="24"/>
          <w:szCs w:val="24"/>
        </w:rPr>
      </w:pPr>
      <w:r>
        <w:rPr>
          <w:rFonts w:ascii="Times New Roman" w:eastAsiaTheme="minorEastAsia" w:hAnsi="Times New Roman"/>
          <w:sz w:val="24"/>
          <w:szCs w:val="24"/>
        </w:rPr>
        <w:t>The ESS Innovator Awards Evaluation Committee, comprising multinational experts, tasked with conducting preliminary reviews and academic appraisals;</w:t>
      </w:r>
    </w:p>
    <w:p w14:paraId="7078A9F0" w14:textId="77777777" w:rsidR="003E7792" w:rsidRDefault="00000000">
      <w:pPr>
        <w:pStyle w:val="ListParagraph1"/>
        <w:numPr>
          <w:ilvl w:val="0"/>
          <w:numId w:val="10"/>
        </w:numPr>
        <w:adjustRightInd w:val="0"/>
        <w:snapToGrid w:val="0"/>
        <w:spacing w:before="0" w:beforeAutospacing="0" w:after="0" w:line="360" w:lineRule="auto"/>
        <w:ind w:left="782"/>
        <w:jc w:val="both"/>
        <w:rPr>
          <w:rFonts w:ascii="Times New Roman" w:eastAsiaTheme="minorEastAsia" w:hAnsi="Times New Roman"/>
          <w:sz w:val="24"/>
          <w:szCs w:val="24"/>
        </w:rPr>
      </w:pPr>
      <w:r>
        <w:rPr>
          <w:rFonts w:ascii="Times New Roman" w:eastAsiaTheme="minorEastAsia" w:hAnsi="Times New Roman"/>
          <w:sz w:val="24"/>
          <w:szCs w:val="24"/>
        </w:rPr>
        <w:t>The Academic Committee for Engineered Science Honorary Awards, responsible for final review and voting, serving as the ultimate decision-making authority for the awards.</w:t>
      </w:r>
    </w:p>
    <w:p w14:paraId="601C60E2" w14:textId="77777777" w:rsidR="003E7792" w:rsidRDefault="00000000">
      <w:pPr>
        <w:numPr>
          <w:ilvl w:val="0"/>
          <w:numId w:val="9"/>
        </w:numPr>
        <w:spacing w:before="0" w:beforeAutospacing="0" w:after="0" w:line="360" w:lineRule="auto"/>
        <w:jc w:val="both"/>
        <w:rPr>
          <w:rFonts w:ascii="Times New Roman" w:hAnsi="Times New Roman"/>
          <w:sz w:val="24"/>
          <w:szCs w:val="24"/>
        </w:rPr>
      </w:pPr>
      <w:r>
        <w:rPr>
          <w:rFonts w:ascii="Times New Roman" w:hAnsi="Times New Roman"/>
          <w:sz w:val="24"/>
          <w:szCs w:val="24"/>
        </w:rPr>
        <w:t>The evaluation procedures include the following:</w:t>
      </w:r>
    </w:p>
    <w:p w14:paraId="3BBDB251" w14:textId="77777777" w:rsidR="003E7792" w:rsidRDefault="00000000">
      <w:pPr>
        <w:pStyle w:val="ListParagraph1"/>
        <w:numPr>
          <w:ilvl w:val="0"/>
          <w:numId w:val="11"/>
        </w:numPr>
        <w:adjustRightInd w:val="0"/>
        <w:snapToGrid w:val="0"/>
        <w:spacing w:before="0" w:beforeAutospacing="0" w:after="0" w:line="360" w:lineRule="auto"/>
        <w:ind w:left="782"/>
        <w:jc w:val="both"/>
        <w:rPr>
          <w:rFonts w:ascii="Times New Roman" w:hAnsi="Times New Roman"/>
          <w:sz w:val="24"/>
          <w:szCs w:val="24"/>
        </w:rPr>
      </w:pPr>
      <w:r>
        <w:rPr>
          <w:rFonts w:ascii="Times New Roman" w:hAnsi="Times New Roman"/>
          <w:sz w:val="24"/>
          <w:szCs w:val="24"/>
        </w:rPr>
        <w:t>Eligibility screening;</w:t>
      </w:r>
    </w:p>
    <w:p w14:paraId="776E9CB2" w14:textId="77777777" w:rsidR="003E7792" w:rsidRDefault="00000000">
      <w:pPr>
        <w:pStyle w:val="ListParagraph1"/>
        <w:numPr>
          <w:ilvl w:val="0"/>
          <w:numId w:val="11"/>
        </w:numPr>
        <w:adjustRightInd w:val="0"/>
        <w:snapToGrid w:val="0"/>
        <w:spacing w:before="0" w:beforeAutospacing="0" w:after="0" w:line="360" w:lineRule="auto"/>
        <w:ind w:left="782"/>
        <w:jc w:val="both"/>
        <w:rPr>
          <w:rFonts w:ascii="Times New Roman" w:hAnsi="Times New Roman"/>
          <w:sz w:val="24"/>
          <w:szCs w:val="24"/>
        </w:rPr>
      </w:pPr>
      <w:r>
        <w:rPr>
          <w:rFonts w:ascii="Times New Roman" w:hAnsi="Times New Roman"/>
          <w:sz w:val="24"/>
          <w:szCs w:val="24"/>
        </w:rPr>
        <w:t>Expert peer review;</w:t>
      </w:r>
    </w:p>
    <w:p w14:paraId="697E5F9C" w14:textId="77777777" w:rsidR="003E7792" w:rsidRDefault="00000000">
      <w:pPr>
        <w:pStyle w:val="ListParagraph1"/>
        <w:numPr>
          <w:ilvl w:val="0"/>
          <w:numId w:val="11"/>
        </w:numPr>
        <w:adjustRightInd w:val="0"/>
        <w:snapToGrid w:val="0"/>
        <w:spacing w:before="0" w:beforeAutospacing="0" w:after="0" w:line="360" w:lineRule="auto"/>
        <w:ind w:left="782"/>
        <w:jc w:val="both"/>
        <w:rPr>
          <w:rFonts w:ascii="Times New Roman" w:hAnsi="Times New Roman"/>
          <w:sz w:val="24"/>
          <w:szCs w:val="24"/>
        </w:rPr>
      </w:pPr>
      <w:r>
        <w:rPr>
          <w:rFonts w:ascii="Times New Roman" w:hAnsi="Times New Roman"/>
          <w:sz w:val="24"/>
          <w:szCs w:val="24"/>
        </w:rPr>
        <w:t>Comprehensive assessment by the Evaluation Committee;</w:t>
      </w:r>
    </w:p>
    <w:p w14:paraId="3026C2C2" w14:textId="77777777" w:rsidR="003E7792" w:rsidRDefault="00000000">
      <w:pPr>
        <w:pStyle w:val="ListParagraph1"/>
        <w:numPr>
          <w:ilvl w:val="0"/>
          <w:numId w:val="11"/>
        </w:numPr>
        <w:adjustRightInd w:val="0"/>
        <w:snapToGrid w:val="0"/>
        <w:spacing w:before="0" w:beforeAutospacing="0" w:after="0" w:line="360" w:lineRule="auto"/>
        <w:ind w:left="782"/>
        <w:jc w:val="both"/>
        <w:rPr>
          <w:rFonts w:ascii="Times New Roman" w:hAnsi="Times New Roman"/>
          <w:sz w:val="24"/>
          <w:szCs w:val="24"/>
        </w:rPr>
      </w:pPr>
      <w:r>
        <w:rPr>
          <w:rFonts w:ascii="Times New Roman" w:hAnsi="Times New Roman"/>
          <w:sz w:val="24"/>
          <w:szCs w:val="24"/>
        </w:rPr>
        <w:t>Voting;</w:t>
      </w:r>
    </w:p>
    <w:p w14:paraId="5A0A5335" w14:textId="77777777" w:rsidR="003E7792" w:rsidRDefault="00000000">
      <w:pPr>
        <w:pStyle w:val="ListParagraph1"/>
        <w:numPr>
          <w:ilvl w:val="0"/>
          <w:numId w:val="11"/>
        </w:numPr>
        <w:adjustRightInd w:val="0"/>
        <w:snapToGrid w:val="0"/>
        <w:spacing w:before="0" w:beforeAutospacing="0" w:after="0" w:line="360" w:lineRule="auto"/>
        <w:ind w:left="782"/>
        <w:jc w:val="both"/>
        <w:rPr>
          <w:rFonts w:ascii="Times New Roman" w:hAnsi="Times New Roman"/>
          <w:sz w:val="24"/>
          <w:szCs w:val="24"/>
        </w:rPr>
      </w:pPr>
      <w:r>
        <w:rPr>
          <w:rFonts w:ascii="Times New Roman" w:hAnsi="Times New Roman"/>
          <w:sz w:val="24"/>
          <w:szCs w:val="24"/>
        </w:rPr>
        <w:t>Confirmation and announcement of results.</w:t>
      </w:r>
    </w:p>
    <w:p w14:paraId="59270413" w14:textId="77777777" w:rsidR="003E7792" w:rsidRDefault="00000000">
      <w:pPr>
        <w:numPr>
          <w:ilvl w:val="0"/>
          <w:numId w:val="9"/>
        </w:numPr>
        <w:spacing w:before="0" w:beforeAutospacing="0" w:after="0" w:line="360" w:lineRule="auto"/>
        <w:jc w:val="both"/>
        <w:rPr>
          <w:rFonts w:ascii="Times New Roman" w:hAnsi="Times New Roman"/>
          <w:sz w:val="24"/>
          <w:szCs w:val="24"/>
        </w:rPr>
      </w:pPr>
      <w:r>
        <w:rPr>
          <w:rFonts w:ascii="Times New Roman" w:hAnsi="Times New Roman" w:hint="eastAsia"/>
          <w:sz w:val="24"/>
          <w:szCs w:val="24"/>
        </w:rPr>
        <w:t>The following confidentiality principles shall apply:</w:t>
      </w:r>
    </w:p>
    <w:p w14:paraId="48D4355A" w14:textId="77777777" w:rsidR="003E7792" w:rsidRDefault="00000000">
      <w:pPr>
        <w:pStyle w:val="ListParagraph1"/>
        <w:numPr>
          <w:ilvl w:val="0"/>
          <w:numId w:val="12"/>
        </w:numPr>
        <w:adjustRightInd w:val="0"/>
        <w:snapToGrid w:val="0"/>
        <w:spacing w:before="0" w:beforeAutospacing="0" w:after="0" w:line="360" w:lineRule="auto"/>
        <w:ind w:left="839"/>
        <w:jc w:val="both"/>
        <w:rPr>
          <w:rFonts w:ascii="Times New Roman" w:hAnsi="Times New Roman"/>
          <w:sz w:val="24"/>
          <w:szCs w:val="24"/>
        </w:rPr>
      </w:pPr>
      <w:r>
        <w:rPr>
          <w:rFonts w:ascii="Times New Roman" w:hAnsi="Times New Roman" w:hint="eastAsia"/>
          <w:sz w:val="24"/>
          <w:szCs w:val="24"/>
        </w:rPr>
        <w:t>Candidate information shall remain confidential and shall not be publicly disclosed;</w:t>
      </w:r>
    </w:p>
    <w:p w14:paraId="100F9F7B" w14:textId="77777777" w:rsidR="003E7792" w:rsidRDefault="00000000">
      <w:pPr>
        <w:pStyle w:val="ListParagraph1"/>
        <w:numPr>
          <w:ilvl w:val="0"/>
          <w:numId w:val="12"/>
        </w:numPr>
        <w:adjustRightInd w:val="0"/>
        <w:snapToGrid w:val="0"/>
        <w:spacing w:before="0" w:beforeAutospacing="0" w:after="0" w:line="360" w:lineRule="auto"/>
        <w:ind w:left="839"/>
        <w:jc w:val="both"/>
        <w:rPr>
          <w:rFonts w:ascii="Times New Roman" w:hAnsi="Times New Roman"/>
          <w:sz w:val="24"/>
          <w:szCs w:val="24"/>
        </w:rPr>
      </w:pPr>
      <w:r>
        <w:rPr>
          <w:rFonts w:ascii="Times New Roman" w:hAnsi="Times New Roman" w:hint="eastAsia"/>
          <w:sz w:val="24"/>
          <w:szCs w:val="24"/>
        </w:rPr>
        <w:t>Evaluation procedures and voting processes shall not be disclosed during the review period;</w:t>
      </w:r>
    </w:p>
    <w:p w14:paraId="4265E6BC" w14:textId="77777777" w:rsidR="003E7792" w:rsidRDefault="00000000">
      <w:pPr>
        <w:pStyle w:val="ListParagraph1"/>
        <w:numPr>
          <w:ilvl w:val="0"/>
          <w:numId w:val="12"/>
        </w:numPr>
        <w:adjustRightInd w:val="0"/>
        <w:snapToGrid w:val="0"/>
        <w:spacing w:before="0" w:beforeAutospacing="0" w:after="0" w:line="360" w:lineRule="auto"/>
        <w:ind w:left="839"/>
        <w:jc w:val="both"/>
        <w:rPr>
          <w:rFonts w:ascii="Times New Roman" w:hAnsi="Times New Roman"/>
          <w:sz w:val="24"/>
          <w:szCs w:val="24"/>
        </w:rPr>
      </w:pPr>
      <w:r>
        <w:rPr>
          <w:rFonts w:ascii="Times New Roman" w:hAnsi="Times New Roman" w:hint="eastAsia"/>
          <w:sz w:val="24"/>
          <w:szCs w:val="24"/>
        </w:rPr>
        <w:lastRenderedPageBreak/>
        <w:t>Award recipients shall not be informed prior to the official announcement;</w:t>
      </w:r>
    </w:p>
    <w:p w14:paraId="5A5184D9" w14:textId="77777777" w:rsidR="003E7792" w:rsidRDefault="00000000">
      <w:pPr>
        <w:pStyle w:val="ListParagraph1"/>
        <w:numPr>
          <w:ilvl w:val="0"/>
          <w:numId w:val="12"/>
        </w:numPr>
        <w:adjustRightInd w:val="0"/>
        <w:snapToGrid w:val="0"/>
        <w:spacing w:before="0" w:beforeAutospacing="0" w:after="0" w:line="360" w:lineRule="auto"/>
        <w:ind w:left="839"/>
        <w:jc w:val="both"/>
        <w:rPr>
          <w:rFonts w:ascii="Times New Roman" w:hAnsi="Times New Roman"/>
          <w:sz w:val="24"/>
          <w:szCs w:val="24"/>
        </w:rPr>
      </w:pPr>
      <w:r>
        <w:rPr>
          <w:rFonts w:ascii="Times New Roman" w:hAnsi="Times New Roman" w:hint="eastAsia"/>
          <w:sz w:val="24"/>
          <w:szCs w:val="24"/>
        </w:rPr>
        <w:t>Review materials and records shall be archived and maintained in accordance with ESS records management policies.</w:t>
      </w:r>
    </w:p>
    <w:p w14:paraId="04626EC6" w14:textId="77777777" w:rsidR="003E7792" w:rsidRDefault="00000000">
      <w:pPr>
        <w:numPr>
          <w:ilvl w:val="0"/>
          <w:numId w:val="9"/>
        </w:numPr>
        <w:spacing w:before="0" w:beforeAutospacing="0" w:after="0" w:line="360" w:lineRule="auto"/>
        <w:jc w:val="both"/>
        <w:rPr>
          <w:rFonts w:ascii="Times New Roman" w:hAnsi="Times New Roman"/>
          <w:sz w:val="24"/>
          <w:szCs w:val="24"/>
        </w:rPr>
      </w:pPr>
      <w:r>
        <w:rPr>
          <w:rFonts w:ascii="Times New Roman" w:hAnsi="Times New Roman" w:hint="eastAsia"/>
          <w:sz w:val="24"/>
          <w:szCs w:val="24"/>
        </w:rPr>
        <w:t>Members of review bodies shall comply with conflict-of-interest regulations and recuse themselves whenever a potential conflict exists.</w:t>
      </w:r>
    </w:p>
    <w:p w14:paraId="71898EEB" w14:textId="77777777" w:rsidR="003E7792" w:rsidRDefault="00000000" w:rsidP="00155752">
      <w:pPr>
        <w:adjustRightInd w:val="0"/>
        <w:snapToGrid w:val="0"/>
        <w:spacing w:beforeLines="100" w:before="312" w:beforeAutospacing="0" w:after="0" w:line="360" w:lineRule="auto"/>
        <w:jc w:val="both"/>
        <w:rPr>
          <w:rFonts w:ascii="Times New Roman" w:eastAsiaTheme="minorEastAsia" w:hAnsi="Times New Roman"/>
          <w:b/>
          <w:bCs/>
          <w:sz w:val="24"/>
          <w:szCs w:val="24"/>
          <w14:ligatures w14:val="standardContextual"/>
        </w:rPr>
      </w:pPr>
      <w:r>
        <w:rPr>
          <w:rFonts w:ascii="Times New Roman" w:eastAsiaTheme="minorEastAsia" w:hAnsi="Times New Roman"/>
          <w:b/>
          <w:bCs/>
          <w:sz w:val="24"/>
          <w:szCs w:val="24"/>
          <w14:ligatures w14:val="standardContextual"/>
        </w:rPr>
        <w:t>Ⅵ.</w:t>
      </w:r>
      <w:r>
        <w:rPr>
          <w:rFonts w:ascii="Times New Roman" w:eastAsiaTheme="minorEastAsia" w:hAnsi="Times New Roman" w:hint="eastAsia"/>
          <w:b/>
          <w:bCs/>
          <w:sz w:val="24"/>
          <w:szCs w:val="24"/>
          <w14:ligatures w14:val="standardContextual"/>
        </w:rPr>
        <w:t xml:space="preserve"> </w:t>
      </w:r>
      <w:r>
        <w:rPr>
          <w:rFonts w:ascii="Times New Roman" w:eastAsiaTheme="minorEastAsia" w:hAnsi="Times New Roman"/>
          <w:b/>
          <w:bCs/>
          <w:sz w:val="24"/>
          <w:szCs w:val="24"/>
          <w14:ligatures w14:val="standardContextual"/>
        </w:rPr>
        <w:t>Recognition and Rights</w:t>
      </w:r>
    </w:p>
    <w:p w14:paraId="453CB4FF" w14:textId="77777777" w:rsidR="003E7792" w:rsidRDefault="00000000">
      <w:pPr>
        <w:numPr>
          <w:ilvl w:val="0"/>
          <w:numId w:val="13"/>
        </w:numPr>
        <w:spacing w:before="0" w:beforeAutospacing="0" w:after="0" w:line="360" w:lineRule="auto"/>
        <w:jc w:val="both"/>
        <w:rPr>
          <w:rFonts w:ascii="Times New Roman" w:hAnsi="Times New Roman"/>
          <w:sz w:val="24"/>
          <w:szCs w:val="24"/>
        </w:rPr>
      </w:pPr>
      <w:r>
        <w:rPr>
          <w:rFonts w:ascii="Times New Roman" w:hAnsi="Times New Roman" w:hint="eastAsia"/>
          <w:sz w:val="24"/>
          <w:szCs w:val="24"/>
        </w:rPr>
        <w:t>Recipients of the ESS Innovator Awards shall receive the following:</w:t>
      </w:r>
    </w:p>
    <w:p w14:paraId="44F87C91" w14:textId="77777777" w:rsidR="003E7792" w:rsidRDefault="00000000">
      <w:pPr>
        <w:pStyle w:val="a4"/>
        <w:numPr>
          <w:ilvl w:val="0"/>
          <w:numId w:val="14"/>
        </w:numPr>
        <w:adjustRightInd w:val="0"/>
        <w:snapToGrid w:val="0"/>
        <w:spacing w:before="0" w:beforeAutospacing="0" w:after="0" w:line="360" w:lineRule="auto"/>
        <w:ind w:firstLineChars="0"/>
        <w:jc w:val="both"/>
        <w:rPr>
          <w:rFonts w:ascii="Times New Roman" w:hAnsi="Times New Roman"/>
          <w:sz w:val="24"/>
          <w:szCs w:val="24"/>
        </w:rPr>
      </w:pPr>
      <w:r>
        <w:rPr>
          <w:rFonts w:ascii="Times New Roman" w:hAnsi="Times New Roman"/>
          <w:sz w:val="24"/>
          <w:szCs w:val="24"/>
        </w:rPr>
        <w:t>The ESS Innovator Award Medal;</w:t>
      </w:r>
    </w:p>
    <w:p w14:paraId="0BCFB007" w14:textId="77777777" w:rsidR="003E7792" w:rsidRDefault="00000000">
      <w:pPr>
        <w:pStyle w:val="a4"/>
        <w:numPr>
          <w:ilvl w:val="0"/>
          <w:numId w:val="14"/>
        </w:numPr>
        <w:adjustRightInd w:val="0"/>
        <w:snapToGrid w:val="0"/>
        <w:spacing w:before="0" w:beforeAutospacing="0" w:after="0" w:line="360" w:lineRule="auto"/>
        <w:ind w:firstLineChars="0"/>
        <w:jc w:val="both"/>
        <w:rPr>
          <w:rFonts w:ascii="Times New Roman" w:hAnsi="Times New Roman"/>
          <w:sz w:val="24"/>
          <w:szCs w:val="24"/>
        </w:rPr>
      </w:pPr>
      <w:r>
        <w:rPr>
          <w:rFonts w:ascii="Times New Roman" w:hAnsi="Times New Roman"/>
          <w:sz w:val="24"/>
          <w:szCs w:val="24"/>
        </w:rPr>
        <w:t>An official award certificate;</w:t>
      </w:r>
    </w:p>
    <w:p w14:paraId="39A0BEDB" w14:textId="77777777" w:rsidR="003E7792" w:rsidRDefault="00000000">
      <w:pPr>
        <w:pStyle w:val="a4"/>
        <w:numPr>
          <w:ilvl w:val="0"/>
          <w:numId w:val="14"/>
        </w:numPr>
        <w:adjustRightInd w:val="0"/>
        <w:snapToGrid w:val="0"/>
        <w:spacing w:before="0" w:beforeAutospacing="0" w:after="0" w:line="360" w:lineRule="auto"/>
        <w:ind w:firstLineChars="0"/>
        <w:jc w:val="both"/>
        <w:rPr>
          <w:rFonts w:ascii="Times New Roman" w:hAnsi="Times New Roman"/>
          <w:sz w:val="24"/>
          <w:szCs w:val="24"/>
        </w:rPr>
      </w:pPr>
      <w:r>
        <w:rPr>
          <w:rFonts w:ascii="Times New Roman" w:hAnsi="Times New Roman"/>
          <w:sz w:val="24"/>
          <w:szCs w:val="24"/>
        </w:rPr>
        <w:t>If the Society allocates a monetary prize or research support program, such rewards shall be granted in accordance with the regulations of the respective year.</w:t>
      </w:r>
    </w:p>
    <w:p w14:paraId="66C6A7E1" w14:textId="77777777" w:rsidR="003E7792" w:rsidRDefault="00000000">
      <w:pPr>
        <w:numPr>
          <w:ilvl w:val="0"/>
          <w:numId w:val="13"/>
        </w:numPr>
        <w:spacing w:before="0" w:beforeAutospacing="0" w:after="0" w:line="360" w:lineRule="auto"/>
        <w:jc w:val="both"/>
        <w:rPr>
          <w:rFonts w:ascii="Times New Roman" w:hAnsi="Times New Roman"/>
          <w:sz w:val="24"/>
          <w:szCs w:val="24"/>
        </w:rPr>
      </w:pPr>
      <w:r>
        <w:rPr>
          <w:rFonts w:ascii="Times New Roman" w:hAnsi="Times New Roman" w:hint="eastAsia"/>
          <w:sz w:val="24"/>
          <w:szCs w:val="24"/>
        </w:rPr>
        <w:t>Information regarding the awardees shall be officially announced at the International Conference on Engineered Science, as well as on the official website of the Engineered Science Society and its international academic publishing platforms.</w:t>
      </w:r>
    </w:p>
    <w:p w14:paraId="5CF99BD8" w14:textId="77777777" w:rsidR="003E7792" w:rsidRDefault="00000000" w:rsidP="00155752">
      <w:pPr>
        <w:adjustRightInd w:val="0"/>
        <w:snapToGrid w:val="0"/>
        <w:spacing w:beforeLines="100" w:before="312" w:beforeAutospacing="0" w:after="0" w:line="360" w:lineRule="auto"/>
        <w:jc w:val="both"/>
        <w:rPr>
          <w:rFonts w:ascii="Times New Roman" w:eastAsiaTheme="minorEastAsia" w:hAnsi="Times New Roman"/>
          <w:b/>
          <w:bCs/>
          <w:sz w:val="24"/>
          <w:szCs w:val="24"/>
          <w14:ligatures w14:val="standardContextual"/>
        </w:rPr>
      </w:pPr>
      <w:r>
        <w:rPr>
          <w:rFonts w:ascii="Times New Roman" w:eastAsiaTheme="minorEastAsia" w:hAnsi="Times New Roman" w:hint="eastAsia"/>
          <w:b/>
          <w:bCs/>
          <w:sz w:val="24"/>
          <w:szCs w:val="24"/>
          <w14:ligatures w14:val="standardContextual"/>
        </w:rPr>
        <w:t>VII. Organization and International Cooperation</w:t>
      </w:r>
    </w:p>
    <w:p w14:paraId="6EDC98FD" w14:textId="3092C980" w:rsidR="003E7792" w:rsidRDefault="00000000">
      <w:pPr>
        <w:spacing w:before="0" w:beforeAutospacing="0" w:after="0" w:line="360" w:lineRule="auto"/>
        <w:jc w:val="both"/>
        <w:rPr>
          <w:rFonts w:ascii="Times New Roman" w:hAnsi="Times New Roman"/>
          <w:sz w:val="24"/>
          <w:szCs w:val="24"/>
        </w:rPr>
      </w:pPr>
      <w:r>
        <w:rPr>
          <w:rFonts w:ascii="Times New Roman" w:hAnsi="Times New Roman" w:hint="eastAsia"/>
          <w:sz w:val="24"/>
          <w:szCs w:val="24"/>
        </w:rPr>
        <w:t xml:space="preserve">1.ESS maintains long-term collaboration with research institutions worldwide to promote original breakthroughs, interdisciplinary integration, scientific innovation, and engineering applications in </w:t>
      </w:r>
      <w:r w:rsidR="00155752">
        <w:rPr>
          <w:rFonts w:ascii="Times New Roman" w:hAnsi="Times New Roman" w:hint="eastAsia"/>
          <w:sz w:val="24"/>
          <w:szCs w:val="24"/>
        </w:rPr>
        <w:t>e</w:t>
      </w:r>
      <w:r>
        <w:rPr>
          <w:rFonts w:ascii="Times New Roman" w:hAnsi="Times New Roman" w:hint="eastAsia"/>
          <w:sz w:val="24"/>
          <w:szCs w:val="24"/>
        </w:rPr>
        <w:t xml:space="preserve">ngineered </w:t>
      </w:r>
      <w:r w:rsidR="00155752">
        <w:rPr>
          <w:rFonts w:ascii="Times New Roman" w:hAnsi="Times New Roman" w:hint="eastAsia"/>
          <w:sz w:val="24"/>
          <w:szCs w:val="24"/>
        </w:rPr>
        <w:t>s</w:t>
      </w:r>
      <w:r>
        <w:rPr>
          <w:rFonts w:ascii="Times New Roman" w:hAnsi="Times New Roman" w:hint="eastAsia"/>
          <w:sz w:val="24"/>
          <w:szCs w:val="24"/>
        </w:rPr>
        <w:t>cience.</w:t>
      </w:r>
    </w:p>
    <w:p w14:paraId="1FE614DA" w14:textId="77777777" w:rsidR="003E7792" w:rsidRDefault="00000000">
      <w:pPr>
        <w:spacing w:before="0" w:beforeAutospacing="0" w:after="0" w:line="360" w:lineRule="auto"/>
        <w:jc w:val="both"/>
        <w:rPr>
          <w:rFonts w:ascii="Times New Roman" w:hAnsi="Times New Roman"/>
          <w:sz w:val="24"/>
          <w:szCs w:val="24"/>
        </w:rPr>
      </w:pPr>
      <w:r>
        <w:rPr>
          <w:rFonts w:ascii="Times New Roman" w:hAnsi="Times New Roman" w:hint="eastAsia"/>
          <w:sz w:val="24"/>
          <w:szCs w:val="24"/>
        </w:rPr>
        <w:t>2.The Society relies on its international academic committee system to ensure the fairness, independence, and international credibility of the Innovator Award Series.</w:t>
      </w:r>
    </w:p>
    <w:p w14:paraId="0EAE47BE" w14:textId="77777777" w:rsidR="003E7792" w:rsidRDefault="00000000" w:rsidP="00155752">
      <w:pPr>
        <w:adjustRightInd w:val="0"/>
        <w:snapToGrid w:val="0"/>
        <w:spacing w:beforeLines="100" w:before="312" w:beforeAutospacing="0" w:after="0" w:line="360" w:lineRule="auto"/>
        <w:jc w:val="both"/>
        <w:rPr>
          <w:rFonts w:ascii="Times New Roman" w:eastAsiaTheme="minorEastAsia" w:hAnsi="Times New Roman"/>
          <w:b/>
          <w:bCs/>
          <w:sz w:val="24"/>
          <w:szCs w:val="24"/>
          <w14:ligatures w14:val="standardContextual"/>
        </w:rPr>
      </w:pPr>
      <w:r>
        <w:rPr>
          <w:rFonts w:ascii="Times New Roman" w:eastAsiaTheme="minorEastAsia" w:hAnsi="Times New Roman" w:hint="eastAsia"/>
          <w:b/>
          <w:bCs/>
          <w:sz w:val="24"/>
          <w:szCs w:val="24"/>
          <w14:ligatures w14:val="standardContextual"/>
        </w:rPr>
        <w:t>VIII. Supplementary Provisions</w:t>
      </w:r>
    </w:p>
    <w:p w14:paraId="4F02EE0F" w14:textId="77777777" w:rsidR="003E7792" w:rsidRDefault="00000000">
      <w:pPr>
        <w:spacing w:before="0" w:beforeAutospacing="0" w:after="0" w:line="360" w:lineRule="auto"/>
        <w:jc w:val="both"/>
        <w:rPr>
          <w:rFonts w:ascii="Times New Roman" w:hAnsi="Times New Roman"/>
          <w:sz w:val="24"/>
          <w:szCs w:val="24"/>
        </w:rPr>
      </w:pPr>
      <w:r>
        <w:rPr>
          <w:rFonts w:ascii="Times New Roman" w:hAnsi="Times New Roman" w:hint="eastAsia"/>
          <w:sz w:val="24"/>
          <w:szCs w:val="24"/>
        </w:rPr>
        <w:t>1.This Charter is formulated and interpreted by the Engineered Science Society.</w:t>
      </w:r>
    </w:p>
    <w:p w14:paraId="3E738B78" w14:textId="77777777" w:rsidR="003E7792" w:rsidRDefault="00000000">
      <w:pPr>
        <w:spacing w:before="0" w:beforeAutospacing="0" w:after="0" w:line="360" w:lineRule="auto"/>
        <w:jc w:val="both"/>
        <w:rPr>
          <w:rFonts w:ascii="Times New Roman" w:hAnsi="Times New Roman"/>
          <w:sz w:val="24"/>
          <w:szCs w:val="24"/>
        </w:rPr>
      </w:pPr>
      <w:r>
        <w:rPr>
          <w:rFonts w:ascii="Times New Roman" w:hAnsi="Times New Roman" w:hint="eastAsia"/>
          <w:sz w:val="24"/>
          <w:szCs w:val="24"/>
        </w:rPr>
        <w:t>2.This Charter may be amended as necessary. Any amendment shall require review and approval by the Academic Committee for ESS Honorary Awards.</w:t>
      </w:r>
    </w:p>
    <w:p w14:paraId="71BA4226" w14:textId="77777777" w:rsidR="003E7792" w:rsidRDefault="00000000">
      <w:pPr>
        <w:spacing w:before="0" w:beforeAutospacing="0" w:after="0" w:line="360" w:lineRule="auto"/>
        <w:jc w:val="both"/>
        <w:rPr>
          <w:rFonts w:ascii="Times New Roman" w:hAnsi="Times New Roman"/>
          <w:sz w:val="24"/>
          <w:szCs w:val="24"/>
        </w:rPr>
      </w:pPr>
      <w:r>
        <w:rPr>
          <w:rFonts w:ascii="Times New Roman" w:hAnsi="Times New Roman" w:hint="eastAsia"/>
          <w:sz w:val="24"/>
          <w:szCs w:val="24"/>
        </w:rPr>
        <w:t>3.This Charter shall enter into force upon official publication. Matters not covered herein shall be interpreted by the Academic Committee for ESS Honorary Awards.</w:t>
      </w:r>
    </w:p>
    <w:sectPr w:rsidR="003E77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AC87" w14:textId="77777777" w:rsidR="00D57324" w:rsidRDefault="00D57324">
      <w:pPr>
        <w:spacing w:line="240" w:lineRule="auto"/>
        <w:rPr>
          <w:rFonts w:hint="eastAsia"/>
        </w:rPr>
      </w:pPr>
      <w:r>
        <w:separator/>
      </w:r>
    </w:p>
  </w:endnote>
  <w:endnote w:type="continuationSeparator" w:id="0">
    <w:p w14:paraId="77F2CD48" w14:textId="77777777" w:rsidR="00D57324" w:rsidRDefault="00D5732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6F4F" w14:textId="77777777" w:rsidR="00D57324" w:rsidRDefault="00D57324">
      <w:pPr>
        <w:spacing w:before="0" w:after="0"/>
        <w:rPr>
          <w:rFonts w:hint="eastAsia"/>
        </w:rPr>
      </w:pPr>
      <w:r>
        <w:separator/>
      </w:r>
    </w:p>
  </w:footnote>
  <w:footnote w:type="continuationSeparator" w:id="0">
    <w:p w14:paraId="435BAAA6" w14:textId="77777777" w:rsidR="00D57324" w:rsidRDefault="00D57324">
      <w:pPr>
        <w:spacing w:before="0"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F59D9D"/>
    <w:multiLevelType w:val="singleLevel"/>
    <w:tmpl w:val="89F59D9D"/>
    <w:lvl w:ilvl="0">
      <w:start w:val="1"/>
      <w:numFmt w:val="decimal"/>
      <w:suff w:val="space"/>
      <w:lvlText w:val="%1."/>
      <w:lvlJc w:val="left"/>
    </w:lvl>
  </w:abstractNum>
  <w:abstractNum w:abstractNumId="1" w15:restartNumberingAfterBreak="0">
    <w:nsid w:val="98B3D1F6"/>
    <w:multiLevelType w:val="singleLevel"/>
    <w:tmpl w:val="98B3D1F6"/>
    <w:lvl w:ilvl="0">
      <w:start w:val="1"/>
      <w:numFmt w:val="bullet"/>
      <w:lvlText w:val=""/>
      <w:lvlJc w:val="left"/>
      <w:pPr>
        <w:tabs>
          <w:tab w:val="left" w:pos="420"/>
        </w:tabs>
        <w:ind w:left="840" w:hanging="420"/>
      </w:pPr>
      <w:rPr>
        <w:rFonts w:ascii="Wingdings" w:hAnsi="Wingdings" w:hint="default"/>
        <w:sz w:val="18"/>
        <w:szCs w:val="18"/>
      </w:rPr>
    </w:lvl>
  </w:abstractNum>
  <w:abstractNum w:abstractNumId="2" w15:restartNumberingAfterBreak="0">
    <w:nsid w:val="A9052846"/>
    <w:multiLevelType w:val="singleLevel"/>
    <w:tmpl w:val="A9052846"/>
    <w:lvl w:ilvl="0">
      <w:start w:val="1"/>
      <w:numFmt w:val="decimal"/>
      <w:suff w:val="space"/>
      <w:lvlText w:val="%1."/>
      <w:lvlJc w:val="left"/>
    </w:lvl>
  </w:abstractNum>
  <w:abstractNum w:abstractNumId="3" w15:restartNumberingAfterBreak="0">
    <w:nsid w:val="C7475B37"/>
    <w:multiLevelType w:val="singleLevel"/>
    <w:tmpl w:val="C7475B37"/>
    <w:lvl w:ilvl="0">
      <w:start w:val="1"/>
      <w:numFmt w:val="bullet"/>
      <w:lvlText w:val=""/>
      <w:lvlJc w:val="left"/>
      <w:pPr>
        <w:tabs>
          <w:tab w:val="left" w:pos="420"/>
        </w:tabs>
        <w:ind w:left="840" w:hanging="420"/>
      </w:pPr>
      <w:rPr>
        <w:rFonts w:ascii="Wingdings" w:hAnsi="Wingdings" w:hint="default"/>
        <w:sz w:val="18"/>
        <w:szCs w:val="18"/>
      </w:rPr>
    </w:lvl>
  </w:abstractNum>
  <w:abstractNum w:abstractNumId="4" w15:restartNumberingAfterBreak="0">
    <w:nsid w:val="D8D525AF"/>
    <w:multiLevelType w:val="singleLevel"/>
    <w:tmpl w:val="D8D525AF"/>
    <w:lvl w:ilvl="0">
      <w:start w:val="1"/>
      <w:numFmt w:val="decimal"/>
      <w:suff w:val="space"/>
      <w:lvlText w:val="%1."/>
      <w:lvlJc w:val="left"/>
    </w:lvl>
  </w:abstractNum>
  <w:abstractNum w:abstractNumId="5" w15:restartNumberingAfterBreak="0">
    <w:nsid w:val="0654783A"/>
    <w:multiLevelType w:val="multilevel"/>
    <w:tmpl w:val="0654783A"/>
    <w:lvl w:ilvl="0">
      <w:start w:val="1"/>
      <w:numFmt w:val="bullet"/>
      <w:lvlText w:val=""/>
      <w:lvlJc w:val="left"/>
      <w:pPr>
        <w:ind w:left="78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69518AE"/>
    <w:multiLevelType w:val="multilevel"/>
    <w:tmpl w:val="169518AE"/>
    <w:lvl w:ilvl="0">
      <w:start w:val="1"/>
      <w:numFmt w:val="bullet"/>
      <w:lvlText w:val=""/>
      <w:lvlJc w:val="left"/>
      <w:pPr>
        <w:ind w:left="78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8E3F2E"/>
    <w:multiLevelType w:val="singleLevel"/>
    <w:tmpl w:val="2B8E3F2E"/>
    <w:lvl w:ilvl="0">
      <w:start w:val="1"/>
      <w:numFmt w:val="decimal"/>
      <w:suff w:val="space"/>
      <w:lvlText w:val="%1."/>
      <w:lvlJc w:val="left"/>
    </w:lvl>
  </w:abstractNum>
  <w:abstractNum w:abstractNumId="8" w15:restartNumberingAfterBreak="0">
    <w:nsid w:val="2E9C6323"/>
    <w:multiLevelType w:val="singleLevel"/>
    <w:tmpl w:val="2E9C6323"/>
    <w:lvl w:ilvl="0">
      <w:start w:val="1"/>
      <w:numFmt w:val="decimal"/>
      <w:suff w:val="space"/>
      <w:lvlText w:val="(%1)"/>
      <w:lvlJc w:val="left"/>
    </w:lvl>
  </w:abstractNum>
  <w:abstractNum w:abstractNumId="9" w15:restartNumberingAfterBreak="0">
    <w:nsid w:val="2F213329"/>
    <w:multiLevelType w:val="multilevel"/>
    <w:tmpl w:val="2F213329"/>
    <w:lvl w:ilvl="0">
      <w:start w:val="1"/>
      <w:numFmt w:val="bullet"/>
      <w:lvlText w:val=""/>
      <w:lvlJc w:val="left"/>
      <w:pPr>
        <w:ind w:left="78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5F6779"/>
    <w:multiLevelType w:val="singleLevel"/>
    <w:tmpl w:val="375F6779"/>
    <w:lvl w:ilvl="0">
      <w:start w:val="1"/>
      <w:numFmt w:val="decimal"/>
      <w:suff w:val="space"/>
      <w:lvlText w:val="%1."/>
      <w:lvlJc w:val="left"/>
    </w:lvl>
  </w:abstractNum>
  <w:abstractNum w:abstractNumId="11" w15:restartNumberingAfterBreak="0">
    <w:nsid w:val="3E3E1F29"/>
    <w:multiLevelType w:val="multilevel"/>
    <w:tmpl w:val="3E3E1F29"/>
    <w:lvl w:ilvl="0">
      <w:start w:val="1"/>
      <w:numFmt w:val="decimal"/>
      <w:lvlText w:val="%1."/>
      <w:lvlJc w:val="left"/>
      <w:pPr>
        <w:ind w:left="360" w:hanging="360"/>
      </w:pPr>
      <w:rPr>
        <w:rFonts w:hint="default"/>
        <w:b w:val="0"/>
        <w:bCs/>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97D26FC"/>
    <w:multiLevelType w:val="multilevel"/>
    <w:tmpl w:val="697D26FC"/>
    <w:lvl w:ilvl="0">
      <w:start w:val="1"/>
      <w:numFmt w:val="bullet"/>
      <w:lvlText w:val=""/>
      <w:lvlJc w:val="left"/>
      <w:pPr>
        <w:ind w:left="78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4314B2D"/>
    <w:multiLevelType w:val="multilevel"/>
    <w:tmpl w:val="74314B2D"/>
    <w:lvl w:ilvl="0">
      <w:start w:val="1"/>
      <w:numFmt w:val="bullet"/>
      <w:lvlText w:val=""/>
      <w:lvlJc w:val="left"/>
      <w:pPr>
        <w:ind w:left="78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66913599">
    <w:abstractNumId w:val="10"/>
  </w:num>
  <w:num w:numId="2" w16cid:durableId="5402305">
    <w:abstractNumId w:val="7"/>
  </w:num>
  <w:num w:numId="3" w16cid:durableId="1419518892">
    <w:abstractNumId w:val="8"/>
  </w:num>
  <w:num w:numId="4" w16cid:durableId="1427000991">
    <w:abstractNumId w:val="0"/>
  </w:num>
  <w:num w:numId="5" w16cid:durableId="1116486553">
    <w:abstractNumId w:val="1"/>
  </w:num>
  <w:num w:numId="6" w16cid:durableId="1178353529">
    <w:abstractNumId w:val="11"/>
  </w:num>
  <w:num w:numId="7" w16cid:durableId="2036155415">
    <w:abstractNumId w:val="5"/>
  </w:num>
  <w:num w:numId="8" w16cid:durableId="654147241">
    <w:abstractNumId w:val="9"/>
  </w:num>
  <w:num w:numId="9" w16cid:durableId="1151025005">
    <w:abstractNumId w:val="2"/>
  </w:num>
  <w:num w:numId="10" w16cid:durableId="827091866">
    <w:abstractNumId w:val="12"/>
  </w:num>
  <w:num w:numId="11" w16cid:durableId="1785270022">
    <w:abstractNumId w:val="13"/>
  </w:num>
  <w:num w:numId="12" w16cid:durableId="1034890013">
    <w:abstractNumId w:val="3"/>
  </w:num>
  <w:num w:numId="13" w16cid:durableId="2043020897">
    <w:abstractNumId w:val="4"/>
  </w:num>
  <w:num w:numId="14" w16cid:durableId="737635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8A"/>
    <w:rsid w:val="0001428A"/>
    <w:rsid w:val="00023174"/>
    <w:rsid w:val="00026C1B"/>
    <w:rsid w:val="0008492B"/>
    <w:rsid w:val="000A67F2"/>
    <w:rsid w:val="000C0933"/>
    <w:rsid w:val="000F0823"/>
    <w:rsid w:val="00100B95"/>
    <w:rsid w:val="00130114"/>
    <w:rsid w:val="00144BBF"/>
    <w:rsid w:val="00155752"/>
    <w:rsid w:val="00171E01"/>
    <w:rsid w:val="001C63D4"/>
    <w:rsid w:val="001E6DCD"/>
    <w:rsid w:val="002315B0"/>
    <w:rsid w:val="002345EB"/>
    <w:rsid w:val="002C3F50"/>
    <w:rsid w:val="002D2406"/>
    <w:rsid w:val="002E599E"/>
    <w:rsid w:val="002F36A0"/>
    <w:rsid w:val="002F3D45"/>
    <w:rsid w:val="0031329D"/>
    <w:rsid w:val="00315415"/>
    <w:rsid w:val="00342A2F"/>
    <w:rsid w:val="00384F77"/>
    <w:rsid w:val="003E7792"/>
    <w:rsid w:val="003F0336"/>
    <w:rsid w:val="004776A0"/>
    <w:rsid w:val="004927C9"/>
    <w:rsid w:val="0049387A"/>
    <w:rsid w:val="004E24B4"/>
    <w:rsid w:val="005706DA"/>
    <w:rsid w:val="005E2BE6"/>
    <w:rsid w:val="005E2F4D"/>
    <w:rsid w:val="00666EC7"/>
    <w:rsid w:val="006A2CE5"/>
    <w:rsid w:val="006D226D"/>
    <w:rsid w:val="007C13BD"/>
    <w:rsid w:val="008138BB"/>
    <w:rsid w:val="00825EE2"/>
    <w:rsid w:val="00847294"/>
    <w:rsid w:val="008A55A5"/>
    <w:rsid w:val="008D59F6"/>
    <w:rsid w:val="008F5A16"/>
    <w:rsid w:val="00942615"/>
    <w:rsid w:val="00975994"/>
    <w:rsid w:val="00987BE9"/>
    <w:rsid w:val="009C7E5F"/>
    <w:rsid w:val="00AA4B42"/>
    <w:rsid w:val="00AB6CD0"/>
    <w:rsid w:val="00AC7E98"/>
    <w:rsid w:val="00B27A84"/>
    <w:rsid w:val="00B671BC"/>
    <w:rsid w:val="00B71CAC"/>
    <w:rsid w:val="00BE7DDF"/>
    <w:rsid w:val="00C24DE0"/>
    <w:rsid w:val="00C607F6"/>
    <w:rsid w:val="00CA64EF"/>
    <w:rsid w:val="00D21BA1"/>
    <w:rsid w:val="00D40ED0"/>
    <w:rsid w:val="00D4614C"/>
    <w:rsid w:val="00D50A8F"/>
    <w:rsid w:val="00D57324"/>
    <w:rsid w:val="00DF537B"/>
    <w:rsid w:val="00DF5475"/>
    <w:rsid w:val="00E804AD"/>
    <w:rsid w:val="00EF06E6"/>
    <w:rsid w:val="00EF2942"/>
    <w:rsid w:val="00F20958"/>
    <w:rsid w:val="00F36EF1"/>
    <w:rsid w:val="00FA355F"/>
    <w:rsid w:val="00FB7BDD"/>
    <w:rsid w:val="00FC48BE"/>
    <w:rsid w:val="00FC6D99"/>
    <w:rsid w:val="00FE5DF6"/>
    <w:rsid w:val="764C6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26DF1"/>
  <w15:docId w15:val="{20CECCEE-9AC7-476D-A736-AEE846F0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100" w:beforeAutospacing="1" w:after="160" w:line="276" w:lineRule="auto"/>
    </w:pPr>
    <w:rPr>
      <w:rFonts w:ascii="等线" w:eastAsia="等线" w:hAnsi="等线"/>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sz w:val="24"/>
    </w:rPr>
  </w:style>
  <w:style w:type="paragraph" w:customStyle="1" w:styleId="ListParagraph1">
    <w:name w:val="List Paragraph1"/>
    <w:basedOn w:val="a"/>
    <w:pPr>
      <w:ind w:left="720"/>
      <w:contextualSpacing/>
    </w:p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155752"/>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155752"/>
    <w:rPr>
      <w:rFonts w:ascii="等线" w:eastAsia="等线" w:hAnsi="等线"/>
      <w:kern w:val="2"/>
      <w:sz w:val="18"/>
      <w:szCs w:val="18"/>
    </w:rPr>
  </w:style>
  <w:style w:type="paragraph" w:styleId="a7">
    <w:name w:val="footer"/>
    <w:basedOn w:val="a"/>
    <w:link w:val="a8"/>
    <w:uiPriority w:val="99"/>
    <w:unhideWhenUsed/>
    <w:rsid w:val="00155752"/>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155752"/>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985</Words>
  <Characters>6177</Characters>
  <Application>Microsoft Office Word</Application>
  <DocSecurity>0</DocSecurity>
  <Lines>121</Lines>
  <Paragraphs>74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YuFeng Zhu</dc:creator>
  <cp:lastModifiedBy>Louis Kwok</cp:lastModifiedBy>
  <cp:revision>78</cp:revision>
  <dcterms:created xsi:type="dcterms:W3CDTF">2026-06-03T06:27:00Z</dcterms:created>
  <dcterms:modified xsi:type="dcterms:W3CDTF">2026-06-03T13:29:00Z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b03d7dce-fc62-467c-8009-d8eff172f7e4</vt:lpwstr>
  </property>
  <property fmtid="{D5CDD505-2E9C-101B-9397-08002B2CF9AE}" pid="3" name="KSOTemplateDocerSaveRecord">
    <vt:lpwstr>eyJoZGlkIjoiN2FjYzFkMjhjMTA3YTgwZjc0MjZhNmYzMjk3NjNmZGQiLCJ1c2VySWQiOiIxNzk1MDEzMjUzIn0=</vt:lpwstr>
  </property>
  <property fmtid="{D5CDD505-2E9C-101B-9397-08002B2CF9AE}" pid="4" name="KSOProductBuildVer">
    <vt:lpwstr>2052-12.1.0.26375</vt:lpwstr>
  </property>
  <property fmtid="{D5CDD505-2E9C-101B-9397-08002B2CF9AE}" pid="5" name="ICV">
    <vt:lpwstr>58F0B224A7044354972E9E159ACA0ECD_12</vt:lpwstr>
  </property>
</Properties>
</file>